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6E" w:rsidRDefault="00B7213D" w:rsidP="00752A88">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4275EF">
        <w:rPr>
          <w:rFonts w:cs="Arial"/>
          <w:sz w:val="24"/>
        </w:rPr>
        <w:t>5</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CB2529">
        <w:rPr>
          <w:rFonts w:cs="Arial"/>
          <w:iCs/>
          <w:sz w:val="24"/>
        </w:rPr>
        <w:t>346</w:t>
      </w:r>
      <w:r w:rsidR="008C560F">
        <w:rPr>
          <w:rFonts w:cs="Arial"/>
          <w:iCs/>
          <w:sz w:val="24"/>
        </w:rPr>
        <w:t>9</w:t>
      </w:r>
    </w:p>
    <w:p w:rsidR="004275EF" w:rsidRPr="0079739D" w:rsidRDefault="004275EF" w:rsidP="00752A88">
      <w:pPr>
        <w:pStyle w:val="Header"/>
        <w:tabs>
          <w:tab w:val="right" w:pos="10206"/>
        </w:tabs>
        <w:spacing w:after="120"/>
        <w:jc w:val="both"/>
        <w:rPr>
          <w:rFonts w:cs="Arial"/>
          <w:sz w:val="24"/>
        </w:rPr>
      </w:pPr>
      <w:r w:rsidRPr="0079739D">
        <w:rPr>
          <w:rFonts w:eastAsia="SimSun"/>
          <w:sz w:val="24"/>
          <w:szCs w:val="24"/>
          <w:lang w:eastAsia="zh-CN"/>
        </w:rPr>
        <w:t>Fukuoka, Japan</w:t>
      </w:r>
      <w:r w:rsidRPr="0079739D">
        <w:rPr>
          <w:rFonts w:eastAsia="SimSun"/>
          <w:sz w:val="24"/>
          <w:szCs w:val="24"/>
          <w:lang w:val="pt-BR" w:eastAsia="zh-CN"/>
        </w:rPr>
        <w:t>,</w:t>
      </w:r>
      <w:r w:rsidRPr="0079739D">
        <w:rPr>
          <w:sz w:val="24"/>
          <w:szCs w:val="24"/>
          <w:lang w:val="pt-BR"/>
        </w:rPr>
        <w:t xml:space="preserve"> </w:t>
      </w:r>
      <w:r w:rsidRPr="0079739D">
        <w:rPr>
          <w:sz w:val="24"/>
          <w:szCs w:val="24"/>
        </w:rPr>
        <w:t xml:space="preserve">25 </w:t>
      </w:r>
      <w:r w:rsidRPr="0079739D">
        <w:rPr>
          <w:rFonts w:eastAsia="SimSun"/>
          <w:sz w:val="24"/>
          <w:szCs w:val="24"/>
          <w:lang w:eastAsia="zh-CN"/>
        </w:rPr>
        <w:t>– 29</w:t>
      </w:r>
      <w:r w:rsidRPr="0079739D">
        <w:rPr>
          <w:sz w:val="24"/>
          <w:szCs w:val="24"/>
        </w:rPr>
        <w:t xml:space="preserve"> </w:t>
      </w:r>
      <w:r w:rsidRPr="0079739D">
        <w:rPr>
          <w:rFonts w:eastAsia="SimSun"/>
          <w:sz w:val="24"/>
          <w:szCs w:val="24"/>
          <w:lang w:eastAsia="zh-CN"/>
        </w:rPr>
        <w:t>May</w:t>
      </w:r>
      <w:r w:rsidRPr="0079739D">
        <w:rPr>
          <w:sz w:val="24"/>
          <w:szCs w:val="24"/>
        </w:rPr>
        <w:t>, 2015</w:t>
      </w:r>
    </w:p>
    <w:p w:rsidR="0099206E" w:rsidRPr="00BF1B44" w:rsidRDefault="0099206E" w:rsidP="00752A88">
      <w:pPr>
        <w:spacing w:after="120"/>
        <w:ind w:left="1985" w:hanging="1985"/>
        <w:jc w:val="both"/>
        <w:rPr>
          <w:rFonts w:ascii="Arial" w:hAnsi="Arial" w:cs="Arial"/>
          <w:b/>
        </w:rPr>
      </w:pPr>
    </w:p>
    <w:p w:rsidR="0099206E" w:rsidRPr="000171ED" w:rsidRDefault="0099206E" w:rsidP="00752A88">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4275EF" w:rsidRDefault="0099206E" w:rsidP="00752A88">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8C560F" w:rsidRPr="008C560F">
        <w:rPr>
          <w:rFonts w:ascii="Arial" w:hAnsi="Arial" w:cs="Arial"/>
        </w:rPr>
        <w:t>Link simulation setup for UL-IRC</w:t>
      </w:r>
    </w:p>
    <w:p w:rsidR="0099206E" w:rsidRPr="00C62060" w:rsidRDefault="0099206E" w:rsidP="00752A88">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2D6281" w:rsidRPr="0025066F">
        <w:rPr>
          <w:rFonts w:ascii="Arial" w:hAnsi="Arial" w:cs="Arial"/>
        </w:rPr>
        <w:t>7</w:t>
      </w:r>
      <w:r w:rsidR="005275CA" w:rsidRPr="0025066F">
        <w:rPr>
          <w:rFonts w:ascii="Arial" w:hAnsi="Arial" w:cs="Arial"/>
        </w:rPr>
        <w:t>.</w:t>
      </w:r>
      <w:r w:rsidR="0025066F" w:rsidRPr="0025066F">
        <w:rPr>
          <w:rFonts w:ascii="Arial" w:hAnsi="Arial" w:cs="Arial"/>
        </w:rPr>
        <w:t>6</w:t>
      </w:r>
      <w:r w:rsidR="00F06AAC">
        <w:rPr>
          <w:rFonts w:ascii="Arial" w:hAnsi="Arial" w:cs="Arial"/>
        </w:rPr>
        <w:t>.</w:t>
      </w:r>
      <w:r w:rsidR="007240E2">
        <w:rPr>
          <w:rFonts w:ascii="Arial" w:hAnsi="Arial" w:cs="Arial"/>
        </w:rPr>
        <w:t>2</w:t>
      </w:r>
    </w:p>
    <w:p w:rsidR="0099206E" w:rsidRDefault="0099206E" w:rsidP="00752A88">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1733C9" w:rsidRDefault="001733C9" w:rsidP="00752A88">
      <w:pPr>
        <w:jc w:val="both"/>
        <w:rPr>
          <w:kern w:val="2"/>
        </w:rPr>
      </w:pPr>
    </w:p>
    <w:p w:rsidR="00337E10" w:rsidRDefault="00337E10" w:rsidP="00752A88">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C51F9C" w:rsidRDefault="00424F01" w:rsidP="00752A88">
      <w:pPr>
        <w:jc w:val="both"/>
        <w:rPr>
          <w:lang w:val="en-US"/>
        </w:rPr>
      </w:pPr>
      <w:r>
        <w:rPr>
          <w:lang w:val="en-US"/>
        </w:rPr>
        <w:t>Link level simulation is the primary tool to evaluate BS MMSE-IRC gain, as indicated in the WI [1].  In last RAN4 meeting (RAN4 74bis), s</w:t>
      </w:r>
      <w:r w:rsidR="00C51F9C">
        <w:rPr>
          <w:lang w:val="en-US"/>
        </w:rPr>
        <w:t xml:space="preserve">ystem simulations are performed by companies with many simulation results </w:t>
      </w:r>
      <w:r>
        <w:rPr>
          <w:lang w:val="en-US"/>
        </w:rPr>
        <w:t>of</w:t>
      </w:r>
      <w:r w:rsidR="00C51F9C">
        <w:rPr>
          <w:lang w:val="en-US"/>
        </w:rPr>
        <w:t xml:space="preserve"> interference profiles.  </w:t>
      </w:r>
      <w:r>
        <w:rPr>
          <w:lang w:val="en-US"/>
        </w:rPr>
        <w:t xml:space="preserve">Although the detailed interference modeling </w:t>
      </w:r>
      <w:r w:rsidR="00E91B62">
        <w:rPr>
          <w:lang w:val="en-US"/>
        </w:rPr>
        <w:t>is</w:t>
      </w:r>
      <w:r>
        <w:rPr>
          <w:lang w:val="en-US"/>
        </w:rPr>
        <w:t xml:space="preserve"> not yet determined [2], the interference modeling will be applied for link simulator to study the IRC gain through link-level simulations.</w:t>
      </w:r>
    </w:p>
    <w:p w:rsidR="00C51F9C" w:rsidRDefault="00C51F9C" w:rsidP="00752A88">
      <w:pPr>
        <w:jc w:val="both"/>
        <w:rPr>
          <w:lang w:val="en-US"/>
        </w:rPr>
      </w:pPr>
      <w:r>
        <w:rPr>
          <w:lang w:val="en-US"/>
        </w:rPr>
        <w:t>This paper addresses the link simulation setup so that</w:t>
      </w:r>
      <w:r w:rsidR="00424F01">
        <w:rPr>
          <w:lang w:val="en-US"/>
        </w:rPr>
        <w:t xml:space="preserve"> link simulation assumptions could</w:t>
      </w:r>
      <w:r>
        <w:rPr>
          <w:lang w:val="en-US"/>
        </w:rPr>
        <w:t xml:space="preserve"> be agreed.</w:t>
      </w:r>
      <w:r w:rsidR="00424F01">
        <w:rPr>
          <w:lang w:val="en-US"/>
        </w:rPr>
        <w:t xml:space="preserve">  Detailed link simulation setup is discussed with the application of interference profiles.  The PRB allocation of PUSCH and the selection of potential MCS levels for IRC are also discussed in the contribution.</w:t>
      </w:r>
    </w:p>
    <w:p w:rsidR="00C51F9C" w:rsidRDefault="00C51F9C" w:rsidP="00752A88">
      <w:pPr>
        <w:jc w:val="both"/>
        <w:rPr>
          <w:lang w:val="en-US"/>
        </w:rPr>
      </w:pPr>
    </w:p>
    <w:p w:rsidR="00C51F9C" w:rsidRDefault="00C51F9C" w:rsidP="00752A88">
      <w:pPr>
        <w:pStyle w:val="Heading3"/>
        <w:jc w:val="both"/>
        <w:rPr>
          <w:kern w:val="2"/>
          <w:lang w:val="en-US"/>
        </w:rPr>
      </w:pPr>
      <w:r>
        <w:rPr>
          <w:kern w:val="2"/>
          <w:lang w:val="en-US"/>
        </w:rPr>
        <w:t>2</w:t>
      </w:r>
      <w:r>
        <w:rPr>
          <w:kern w:val="2"/>
          <w:lang w:val="en-US"/>
        </w:rPr>
        <w:tab/>
        <w:t>Simulation setup</w:t>
      </w:r>
      <w:r w:rsidR="00E47B14">
        <w:rPr>
          <w:kern w:val="2"/>
          <w:lang w:val="en-US"/>
        </w:rPr>
        <w:t xml:space="preserve"> and interference generation</w:t>
      </w:r>
    </w:p>
    <w:p w:rsidR="00E47B14" w:rsidRDefault="00424F01" w:rsidP="00752A88">
      <w:pPr>
        <w:jc w:val="both"/>
        <w:rPr>
          <w:lang w:val="en-US"/>
        </w:rPr>
      </w:pPr>
      <w:r>
        <w:rPr>
          <w:lang w:val="en-US"/>
        </w:rPr>
        <w:t>Based on RAN4 previous agreements, DIP profiles shall be applied for BS MMSE-IRC study.  T</w:t>
      </w:r>
      <w:r w:rsidR="00E47B14">
        <w:rPr>
          <w:lang w:val="en-US"/>
        </w:rPr>
        <w:t xml:space="preserve">he SINR and interference levels can be determined by (SINR, DIP1, </w:t>
      </w:r>
      <w:proofErr w:type="gramStart"/>
      <w:r w:rsidR="00E47B14">
        <w:rPr>
          <w:lang w:val="en-US"/>
        </w:rPr>
        <w:t>DIP2</w:t>
      </w:r>
      <w:proofErr w:type="gramEnd"/>
      <w:r w:rsidR="00E47B14">
        <w:rPr>
          <w:lang w:val="en-US"/>
        </w:rPr>
        <w:t>)</w:t>
      </w:r>
      <w:r>
        <w:rPr>
          <w:lang w:val="en-US"/>
        </w:rPr>
        <w:t>.  With two dominant interferers, the wideband SINR is defined as</w:t>
      </w:r>
      <w:r w:rsidR="00E47B14">
        <w:rPr>
          <w:lang w:val="en-US"/>
        </w:rPr>
        <w:t>:</w:t>
      </w:r>
    </w:p>
    <w:p w:rsidR="00360860" w:rsidRDefault="00724161" w:rsidP="00752A88">
      <w:pPr>
        <w:jc w:val="both"/>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s</m:t>
                  </m:r>
                </m:sub>
              </m:sSub>
            </m:num>
            <m:den>
              <m:eqArr>
                <m:eqArrPr>
                  <m:ctrlPr>
                    <w:rPr>
                      <w:rFonts w:ascii="Cambria Math" w:hAnsi="Cambria Math"/>
                      <w:i/>
                      <w:lang w:val="en-US"/>
                    </w:rPr>
                  </m:ctrlPr>
                </m:eqArr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e>
              </m:eqArr>
            </m:den>
          </m:f>
        </m:oMath>
      </m:oMathPara>
    </w:p>
    <w:p w:rsidR="00724161" w:rsidRDefault="00724161" w:rsidP="00752A88">
      <w:pPr>
        <w:jc w:val="both"/>
        <w:rPr>
          <w:rFonts w:eastAsiaTheme="minorEastAsia"/>
          <w:lang w:val="en-US" w:eastAsia="zh-CN"/>
        </w:rPr>
      </w:pPr>
      <w:r>
        <w:rPr>
          <w:rFonts w:eastAsiaTheme="minorEastAsia"/>
          <w:lang w:val="en-US" w:eastAsia="zh-CN"/>
        </w:rPr>
        <w:t xml:space="preserve">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s</m:t>
            </m:r>
          </m:sub>
        </m:sSub>
      </m:oMath>
      <w:r>
        <w:rPr>
          <w:rFonts w:eastAsiaTheme="minorEastAsia"/>
          <w:lang w:val="en-US" w:eastAsia="zh-CN"/>
        </w:rPr>
        <w:t xml:space="preserve">is the received power of desired signal,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1</m:t>
            </m:r>
          </m:sub>
        </m:sSub>
      </m:oMath>
      <w:r>
        <w:rPr>
          <w:rFonts w:eastAsiaTheme="minorEastAsia"/>
          <w:lang w:val="en-US" w:eastAsia="zh-CN"/>
        </w:rPr>
        <w:t>is the received power of the 1</w:t>
      </w:r>
      <w:r w:rsidRPr="00724161">
        <w:rPr>
          <w:rFonts w:eastAsiaTheme="minorEastAsia"/>
          <w:vertAlign w:val="superscript"/>
          <w:lang w:val="en-US" w:eastAsia="zh-CN"/>
        </w:rPr>
        <w:t>st</w:t>
      </w:r>
      <w:r>
        <w:rPr>
          <w:rFonts w:eastAsiaTheme="minorEastAsia"/>
          <w:lang w:val="en-US" w:eastAsia="zh-CN"/>
        </w:rPr>
        <w:t xml:space="preserve"> dominant interferer,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2</m:t>
            </m:r>
          </m:sub>
        </m:sSub>
      </m:oMath>
      <w:r>
        <w:rPr>
          <w:rFonts w:eastAsiaTheme="minorEastAsia"/>
          <w:lang w:val="en-US" w:eastAsia="zh-CN"/>
        </w:rPr>
        <w:t xml:space="preserve"> is the received power of the 2</w:t>
      </w:r>
      <w:r w:rsidRPr="00724161">
        <w:rPr>
          <w:rFonts w:eastAsiaTheme="minorEastAsia"/>
          <w:vertAlign w:val="superscript"/>
          <w:lang w:val="en-US" w:eastAsia="zh-CN"/>
        </w:rPr>
        <w:t>nd</w:t>
      </w:r>
      <w:r>
        <w:rPr>
          <w:rFonts w:eastAsiaTheme="minorEastAsia"/>
          <w:lang w:val="en-US" w:eastAsia="zh-CN"/>
        </w:rPr>
        <w:t xml:space="preserve"> dominant interferer, and </w:t>
      </w:r>
      <m:oMath>
        <m:sSup>
          <m:sSupPr>
            <m:ctrlPr>
              <w:rPr>
                <w:rFonts w:ascii="Cambria Math" w:eastAsiaTheme="minorEastAsia" w:hAnsi="Cambria Math"/>
                <w:i/>
                <w:lang w:val="en-US" w:eastAsia="zh-CN"/>
              </w:rPr>
            </m:ctrlPr>
          </m:sSupPr>
          <m:e>
            <m:r>
              <w:rPr>
                <w:rFonts w:ascii="Cambria Math" w:eastAsiaTheme="minorEastAsia" w:hAnsi="Cambria Math"/>
                <w:lang w:val="en-US" w:eastAsia="zh-CN"/>
              </w:rPr>
              <m:t>σ</m:t>
            </m:r>
          </m:e>
          <m:sup>
            <m:r>
              <w:rPr>
                <w:rFonts w:ascii="Cambria Math" w:eastAsiaTheme="minorEastAsia" w:hAnsi="Cambria Math"/>
                <w:lang w:val="en-US" w:eastAsia="zh-CN"/>
              </w:rPr>
              <m:t>2</m:t>
            </m:r>
          </m:sup>
        </m:sSup>
      </m:oMath>
      <w:r>
        <w:rPr>
          <w:rFonts w:eastAsiaTheme="minorEastAsia"/>
          <w:lang w:val="en-US" w:eastAsia="zh-CN"/>
        </w:rPr>
        <w:t xml:space="preserve"> is the power spectrum density of noise and other interferers, which are modeled as AWGN noise.  </w:t>
      </w:r>
      <w:r w:rsidR="00424F01">
        <w:rPr>
          <w:rFonts w:eastAsiaTheme="minorEastAsia"/>
          <w:lang w:val="en-US" w:eastAsia="zh-CN"/>
        </w:rPr>
        <w:t xml:space="preserve">The overall interference and noise power is defined </w:t>
      </w:r>
      <w:proofErr w:type="gramStart"/>
      <w:r w:rsidR="00424F01">
        <w:rPr>
          <w:rFonts w:eastAsiaTheme="minorEastAsia"/>
          <w:lang w:val="en-US" w:eastAsia="zh-CN"/>
        </w:rPr>
        <w:t>as</w:t>
      </w:r>
      <w:r w:rsidR="00746152">
        <w:rPr>
          <w:rFonts w:eastAsiaTheme="minorEastAsia"/>
          <w:lang w:val="en-US" w:eastAsia="zh-CN"/>
        </w:rPr>
        <w:t xml:space="preserve"> </w:t>
      </w:r>
      <m:oMath>
        <w:proofErr w:type="gramEnd"/>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oc</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1</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2</m:t>
            </m:r>
          </m:sub>
        </m:sSub>
        <m:r>
          <w:rPr>
            <w:rFonts w:ascii="Cambria Math" w:eastAsiaTheme="minorEastAsia" w:hAnsi="Cambria Math"/>
            <w:lang w:val="en-US" w:eastAsia="zh-CN"/>
          </w:rPr>
          <m:t xml:space="preserve">+ </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σ</m:t>
            </m:r>
          </m:e>
          <m:sup>
            <m:r>
              <w:rPr>
                <w:rFonts w:ascii="Cambria Math" w:eastAsiaTheme="minorEastAsia" w:hAnsi="Cambria Math"/>
                <w:lang w:val="en-US" w:eastAsia="zh-CN"/>
              </w:rPr>
              <m:t>2</m:t>
            </m:r>
          </m:sup>
        </m:sSup>
      </m:oMath>
      <w:r w:rsidR="00424F01">
        <w:rPr>
          <w:rFonts w:eastAsiaTheme="minorEastAsia"/>
          <w:lang w:val="en-US" w:eastAsia="zh-CN"/>
        </w:rPr>
        <w:t>.</w:t>
      </w:r>
      <w:r w:rsidR="00752A88">
        <w:rPr>
          <w:rFonts w:eastAsiaTheme="minorEastAsia"/>
          <w:lang w:val="en-US" w:eastAsia="zh-CN"/>
        </w:rPr>
        <w:t xml:space="preserve">  </w:t>
      </w:r>
      <w:r>
        <w:rPr>
          <w:rFonts w:eastAsiaTheme="minorEastAsia"/>
          <w:lang w:val="en-US" w:eastAsia="zh-CN"/>
        </w:rPr>
        <w:t xml:space="preserve">The two DIP profiles are </w:t>
      </w:r>
    </w:p>
    <w:p w:rsidR="00724161" w:rsidRDefault="00724161" w:rsidP="00752A88">
      <w:pPr>
        <w:jc w:val="both"/>
        <w:rPr>
          <w:rFonts w:eastAsiaTheme="minorEastAsia"/>
          <w:lang w:val="en-US" w:eastAsia="zh-CN"/>
        </w:rPr>
      </w:pPr>
      <m:oMathPara>
        <m:oMath>
          <m:r>
            <w:rPr>
              <w:rFonts w:ascii="Cambria Math" w:eastAsiaTheme="minorEastAsia" w:hAnsi="Cambria Math"/>
              <w:lang w:val="en-US" w:eastAsia="zh-CN"/>
            </w:rPr>
            <m:t>DI</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i</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i</m:t>
                  </m:r>
                </m:sub>
              </m:sSub>
            </m:num>
            <m:den>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oc</m:t>
                  </m:r>
                </m:sub>
              </m:sSub>
            </m:den>
          </m:f>
        </m:oMath>
      </m:oMathPara>
    </w:p>
    <w:p w:rsidR="00724161" w:rsidRDefault="00752A88" w:rsidP="00752A88">
      <w:pPr>
        <w:jc w:val="both"/>
        <w:rPr>
          <w:rFonts w:eastAsiaTheme="minorEastAsia"/>
          <w:lang w:val="en-US" w:eastAsia="zh-CN"/>
        </w:rPr>
      </w:pPr>
      <w:proofErr w:type="gramStart"/>
      <w:r>
        <w:rPr>
          <w:rFonts w:eastAsiaTheme="minorEastAsia"/>
          <w:lang w:val="en-US" w:eastAsia="zh-CN"/>
        </w:rPr>
        <w:t>where</w:t>
      </w:r>
      <w:proofErr w:type="gramEnd"/>
      <w:r w:rsidR="00724161">
        <w:rPr>
          <w:rFonts w:eastAsiaTheme="minorEastAsia"/>
          <w:lang w:val="en-US" w:eastAsia="zh-CN"/>
        </w:rPr>
        <w:t xml:space="preserve"> </w:t>
      </w:r>
      <m:oMath>
        <m:r>
          <w:rPr>
            <w:rFonts w:ascii="Cambria Math" w:eastAsiaTheme="minorEastAsia" w:hAnsi="Cambria Math"/>
            <w:lang w:val="en-US" w:eastAsia="zh-CN"/>
          </w:rPr>
          <m:t>i={1,2}</m:t>
        </m:r>
      </m:oMath>
      <w:r>
        <w:rPr>
          <w:rFonts w:eastAsiaTheme="minorEastAsia"/>
          <w:lang w:val="en-US" w:eastAsia="zh-CN"/>
        </w:rPr>
        <w:t xml:space="preserve"> relates to </w:t>
      </w:r>
      <w:r w:rsidR="00724161">
        <w:rPr>
          <w:rFonts w:eastAsiaTheme="minorEastAsia"/>
          <w:lang w:val="en-US" w:eastAsia="zh-CN"/>
        </w:rPr>
        <w:t>DIP1 and DIP2 respectively.</w:t>
      </w:r>
    </w:p>
    <w:p w:rsidR="00E47B14" w:rsidRDefault="006B7A1E" w:rsidP="00752A88">
      <w:pPr>
        <w:jc w:val="both"/>
        <w:rPr>
          <w:lang w:val="en-US"/>
        </w:rPr>
      </w:pPr>
      <w:r>
        <w:rPr>
          <w:lang w:val="en-US"/>
        </w:rPr>
        <w:t>With these definitions, the UL IRC simulat</w:t>
      </w:r>
      <w:r w:rsidR="009624AE">
        <w:rPr>
          <w:lang w:val="en-US"/>
        </w:rPr>
        <w:t>or</w:t>
      </w:r>
      <w:r>
        <w:rPr>
          <w:lang w:val="en-US"/>
        </w:rPr>
        <w:t xml:space="preserve"> setup can be shown in Figure 1 for PUSCH evaluation.  Two inter</w:t>
      </w:r>
      <w:r w:rsidR="009624AE">
        <w:rPr>
          <w:lang w:val="en-US"/>
        </w:rPr>
        <w:t>ferers are explicitly evaluated with their independent channels.</w:t>
      </w:r>
    </w:p>
    <w:p w:rsidR="00724161" w:rsidRDefault="00724161" w:rsidP="00746152">
      <w:pPr>
        <w:keepNext/>
        <w:jc w:val="center"/>
      </w:pPr>
      <w:r>
        <w:object w:dxaOrig="8125" w:dyaOrig="2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46.75pt" o:ole="">
            <v:imagedata r:id="rId8" o:title=""/>
          </v:shape>
          <o:OLEObject Type="Embed" ProgID="Visio.Drawing.11" ShapeID="_x0000_i1025" DrawAspect="Content" ObjectID="_1493464235" r:id="rId9"/>
        </w:object>
      </w:r>
    </w:p>
    <w:p w:rsidR="00E47B14" w:rsidRPr="00C51F9C" w:rsidRDefault="00724161" w:rsidP="00746152">
      <w:pPr>
        <w:pStyle w:val="Caption"/>
        <w:jc w:val="center"/>
        <w:rPr>
          <w:lang w:val="en-US"/>
        </w:rPr>
      </w:pPr>
      <w:r>
        <w:t xml:space="preserve">Figure </w:t>
      </w:r>
      <w:fldSimple w:instr=" SEQ Figure \* ARABIC ">
        <w:r>
          <w:rPr>
            <w:noProof/>
          </w:rPr>
          <w:t>1</w:t>
        </w:r>
      </w:fldSimple>
      <w:r w:rsidR="009624AE">
        <w:t xml:space="preserve">    Simulator</w:t>
      </w:r>
      <w:r>
        <w:t xml:space="preserve"> setup for UL IRC evaluation</w:t>
      </w:r>
    </w:p>
    <w:p w:rsidR="00C51F9C" w:rsidRDefault="009624AE" w:rsidP="00752A88">
      <w:pPr>
        <w:jc w:val="both"/>
        <w:rPr>
          <w:lang w:val="en-US"/>
        </w:rPr>
      </w:pPr>
      <w:r>
        <w:rPr>
          <w:lang w:val="en-US"/>
        </w:rPr>
        <w:t xml:space="preserve">Note that each branch in Figure 1 is power normalized to its corresponding power level.  Usually, when the set (SINR, DIP1, DIP2) is given, we can determine the corresponding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Pr>
          <w:lang w:val="en-US"/>
        </w:rPr>
        <w:t xml:space="preserve"> and noise </w:t>
      </w:r>
      <w:proofErr w:type="gramStart"/>
      <w:r>
        <w:rPr>
          <w:lang w:val="en-US"/>
        </w:rPr>
        <w:t xml:space="preserve">level </w:t>
      </w:r>
      <m:oMath>
        <w:proofErr w:type="gramEnd"/>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Pr>
          <w:lang w:val="en-US"/>
        </w:rPr>
        <w:t>.</w:t>
      </w:r>
    </w:p>
    <w:p w:rsidR="006B7A1E" w:rsidRDefault="006B7A1E" w:rsidP="00752A88">
      <w:pPr>
        <w:pStyle w:val="Heading4"/>
        <w:jc w:val="both"/>
        <w:rPr>
          <w:kern w:val="2"/>
          <w:lang w:val="en-US"/>
        </w:rPr>
      </w:pPr>
      <w:r>
        <w:rPr>
          <w:kern w:val="2"/>
          <w:lang w:val="en-US"/>
        </w:rPr>
        <w:lastRenderedPageBreak/>
        <w:t>2.1</w:t>
      </w:r>
      <w:r>
        <w:rPr>
          <w:kern w:val="2"/>
          <w:lang w:val="en-US"/>
        </w:rPr>
        <w:tab/>
        <w:t>PRB considerations</w:t>
      </w:r>
    </w:p>
    <w:p w:rsidR="006B7A1E" w:rsidRDefault="006B7A1E" w:rsidP="00752A88">
      <w:pPr>
        <w:jc w:val="both"/>
        <w:rPr>
          <w:lang w:val="en-US"/>
        </w:rPr>
      </w:pPr>
      <w:r>
        <w:rPr>
          <w:lang w:val="en-US"/>
        </w:rPr>
        <w:t>With the full buffer model, we assume that the two interferers are always present all the t</w:t>
      </w:r>
      <w:r w:rsidR="00272101">
        <w:rPr>
          <w:lang w:val="en-US"/>
        </w:rPr>
        <w:t>ime with full system bandwidth with fixed DIP values</w:t>
      </w:r>
      <w:r>
        <w:rPr>
          <w:lang w:val="en-US"/>
        </w:rPr>
        <w:t xml:space="preserve">.  </w:t>
      </w:r>
      <w:r w:rsidR="00272101">
        <w:rPr>
          <w:lang w:val="en-US"/>
        </w:rPr>
        <w:t>This may not be very realistic in a real network scenario; however, this setup serves the purpose to test the IRC gain.</w:t>
      </w:r>
    </w:p>
    <w:p w:rsidR="003017AA" w:rsidRDefault="003017AA" w:rsidP="00752A88">
      <w:pPr>
        <w:jc w:val="both"/>
        <w:rPr>
          <w:b/>
          <w:i/>
          <w:lang w:val="en-US"/>
        </w:rPr>
      </w:pPr>
      <w:r>
        <w:rPr>
          <w:b/>
          <w:i/>
          <w:lang w:val="en-US"/>
        </w:rPr>
        <w:t>Proposal 1:</w:t>
      </w:r>
      <w:r>
        <w:rPr>
          <w:b/>
          <w:i/>
          <w:lang w:val="en-US"/>
        </w:rPr>
        <w:tab/>
        <w:t>Assume two interferers are present all the time with full system bandwidth.</w:t>
      </w:r>
    </w:p>
    <w:p w:rsidR="003017AA" w:rsidRPr="003017AA" w:rsidRDefault="003017AA" w:rsidP="00752A88">
      <w:pPr>
        <w:jc w:val="both"/>
        <w:rPr>
          <w:b/>
          <w:i/>
          <w:lang w:val="en-US"/>
        </w:rPr>
      </w:pPr>
      <w:r>
        <w:rPr>
          <w:b/>
          <w:i/>
          <w:lang w:val="en-US"/>
        </w:rPr>
        <w:t>Proposal 2:</w:t>
      </w:r>
      <w:r>
        <w:rPr>
          <w:b/>
          <w:i/>
          <w:lang w:val="en-US"/>
        </w:rPr>
        <w:tab/>
        <w:t>The DIP values are fixed for one PUSCH test.</w:t>
      </w:r>
    </w:p>
    <w:p w:rsidR="006B7A1E" w:rsidRDefault="006B7A1E" w:rsidP="00752A88">
      <w:pPr>
        <w:jc w:val="both"/>
        <w:rPr>
          <w:lang w:val="en-US"/>
        </w:rPr>
      </w:pPr>
      <w:r>
        <w:rPr>
          <w:lang w:val="en-US"/>
        </w:rPr>
        <w:t>The bandwidth of desired PUSCH can be full system bandwidth.</w:t>
      </w:r>
      <w:r w:rsidR="00272101">
        <w:rPr>
          <w:lang w:val="en-US"/>
        </w:rPr>
        <w:t xml:space="preserve">  This is also the case to test the IRC gain, compared to the legacy performance where MRC receiver was applied.  One issue with this approach is that </w:t>
      </w:r>
      <w:r w:rsidR="003017AA">
        <w:rPr>
          <w:lang w:val="en-US"/>
        </w:rPr>
        <w:t>this setup won’t be able to differentiate channel estimation methods with various PRB windows.  For example, one receiver implementation may estimate channel and interference (via co-variance matrix estimation) at single PRB case; while another implementation uses full bandwidth to estimate channel and interference.  With this setup, the later implementation will provide better performance than the first one; while it may fail to provide IRC gain in real network operation since the interferers are quite dynamic (vary at PRB level) under real network operation.</w:t>
      </w:r>
    </w:p>
    <w:p w:rsidR="006B7A1E" w:rsidRDefault="003017AA" w:rsidP="003017AA">
      <w:pPr>
        <w:jc w:val="both"/>
        <w:rPr>
          <w:lang w:val="en-US"/>
        </w:rPr>
      </w:pPr>
      <w:r>
        <w:rPr>
          <w:lang w:val="en-US"/>
        </w:rPr>
        <w:t>One possible solution is to evaluate the IRC performance with limited PRB allocation.  For example, we may define test cases with 1PRB, which was used for the legacy PUSCH performance.</w:t>
      </w:r>
    </w:p>
    <w:p w:rsidR="003017AA" w:rsidRPr="003017AA" w:rsidRDefault="003017AA" w:rsidP="003017AA">
      <w:pPr>
        <w:jc w:val="both"/>
        <w:rPr>
          <w:b/>
          <w:i/>
          <w:lang w:val="en-US"/>
        </w:rPr>
      </w:pPr>
      <w:r>
        <w:rPr>
          <w:b/>
          <w:i/>
          <w:lang w:val="en-US"/>
        </w:rPr>
        <w:t>Proposal 3:</w:t>
      </w:r>
      <w:r>
        <w:rPr>
          <w:b/>
          <w:i/>
          <w:lang w:val="en-US"/>
        </w:rPr>
        <w:tab/>
        <w:t>Single PRB can be defined for the desired PUSCH for IRC evaluation.</w:t>
      </w:r>
    </w:p>
    <w:p w:rsidR="003017AA" w:rsidRDefault="003017AA" w:rsidP="00752A88">
      <w:pPr>
        <w:pStyle w:val="Heading4"/>
        <w:jc w:val="both"/>
        <w:rPr>
          <w:kern w:val="2"/>
          <w:lang w:val="en-US"/>
        </w:rPr>
      </w:pPr>
    </w:p>
    <w:p w:rsidR="006B7A1E" w:rsidRDefault="006B7A1E" w:rsidP="00752A88">
      <w:pPr>
        <w:pStyle w:val="Heading4"/>
        <w:jc w:val="both"/>
        <w:rPr>
          <w:kern w:val="2"/>
          <w:lang w:val="en-US"/>
        </w:rPr>
      </w:pPr>
      <w:r>
        <w:rPr>
          <w:kern w:val="2"/>
          <w:lang w:val="en-US"/>
        </w:rPr>
        <w:t>2.2</w:t>
      </w:r>
      <w:r>
        <w:rPr>
          <w:kern w:val="2"/>
          <w:lang w:val="en-US"/>
        </w:rPr>
        <w:tab/>
        <w:t>Performance evaluation</w:t>
      </w:r>
    </w:p>
    <w:p w:rsidR="006B7A1E" w:rsidRPr="006B7A1E" w:rsidRDefault="003017AA" w:rsidP="00752A88">
      <w:pPr>
        <w:jc w:val="both"/>
        <w:rPr>
          <w:lang w:val="en-US"/>
        </w:rPr>
      </w:pPr>
      <w:r>
        <w:rPr>
          <w:lang w:val="en-US"/>
        </w:rPr>
        <w:t>Similar to the legacy PUSCH performance, t</w:t>
      </w:r>
      <w:r w:rsidR="006B7A1E">
        <w:rPr>
          <w:lang w:val="en-US"/>
        </w:rPr>
        <w:t>hroughput shall be used as the met</w:t>
      </w:r>
      <w:r>
        <w:rPr>
          <w:lang w:val="en-US"/>
        </w:rPr>
        <w:t xml:space="preserve">ric to evaluate IRC performance and its gain over MRC.  At the initial stage, we may need to evaluate more </w:t>
      </w:r>
      <w:r w:rsidR="005D4810">
        <w:rPr>
          <w:lang w:val="en-US"/>
        </w:rPr>
        <w:t>operating points before we narrow down for testing specification purpose.</w:t>
      </w:r>
    </w:p>
    <w:p w:rsidR="00C51F9C" w:rsidRDefault="005D4810" w:rsidP="00752A88">
      <w:pPr>
        <w:jc w:val="both"/>
        <w:rPr>
          <w:lang w:val="en-US"/>
        </w:rPr>
      </w:pPr>
      <w:r>
        <w:rPr>
          <w:lang w:val="en-US"/>
        </w:rPr>
        <w:t>As one</w:t>
      </w:r>
      <w:r w:rsidR="009E1F96">
        <w:rPr>
          <w:lang w:val="en-US"/>
        </w:rPr>
        <w:t xml:space="preserve"> example, we may use th</w:t>
      </w:r>
      <w:r>
        <w:rPr>
          <w:lang w:val="en-US"/>
        </w:rPr>
        <w:t>e</w:t>
      </w:r>
      <w:r w:rsidR="009E1F96">
        <w:rPr>
          <w:lang w:val="en-US"/>
        </w:rPr>
        <w:t xml:space="preserve"> DIP table</w:t>
      </w:r>
      <w:r>
        <w:rPr>
          <w:lang w:val="en-US"/>
        </w:rPr>
        <w:t xml:space="preserve"> as derived in [3</w:t>
      </w:r>
      <w:proofErr w:type="gramStart"/>
      <w:r>
        <w:rPr>
          <w:lang w:val="en-US"/>
        </w:rPr>
        <w:t xml:space="preserve">] </w:t>
      </w:r>
      <w:r w:rsidR="009E1F96">
        <w:rPr>
          <w:lang w:val="en-US"/>
        </w:rPr>
        <w:t>:</w:t>
      </w:r>
      <w:proofErr w:type="gramEnd"/>
    </w:p>
    <w:p w:rsidR="009E1F96" w:rsidRDefault="009E1F96" w:rsidP="005D4810">
      <w:pPr>
        <w:pStyle w:val="Caption"/>
        <w:keepNext/>
        <w:jc w:val="center"/>
      </w:pPr>
      <w:r>
        <w:t>Table 1    DIP1 and DIP2 profiles with SINR at 2.5%~12.5% (Table 2 of [3])</w:t>
      </w:r>
    </w:p>
    <w:tbl>
      <w:tblPr>
        <w:tblW w:w="0" w:type="auto"/>
        <w:jc w:val="center"/>
        <w:tblInd w:w="78" w:type="dxa"/>
        <w:tblLayout w:type="fixed"/>
        <w:tblLook w:val="0000"/>
      </w:tblPr>
      <w:tblGrid>
        <w:gridCol w:w="992"/>
        <w:gridCol w:w="993"/>
        <w:gridCol w:w="992"/>
      </w:tblGrid>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x-tile</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DIP1 (dB)</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DIP2 (dB)</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-4.6</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-6.3</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-3.3</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-5.5</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-2.6</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-5.5</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-2.3</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-6.5</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-2.0</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-6.8</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-1.6</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-7.8</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-1.4</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-7.3</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-1.2</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-8.4</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45%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-1.1</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-10.3</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-0.9</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-11.5</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55%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-0.8</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-10.8</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-0.7</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-12.1</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65%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-0.5</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-13.7</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70%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-0.5</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-14.4</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75%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-0.4</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-15.0</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80%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-0.3</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-16.5</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85%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-0.3</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-16.6</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-0.2</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-17.9</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95%</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-0.2</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-19.9</w:t>
            </w:r>
          </w:p>
        </w:tc>
      </w:tr>
      <w:tr w:rsidR="009E1F96" w:rsidTr="005D4810">
        <w:trPr>
          <w:trHeight w:val="287"/>
          <w:jc w:val="center"/>
        </w:trPr>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100%</w:t>
            </w:r>
          </w:p>
        </w:tc>
        <w:tc>
          <w:tcPr>
            <w:tcW w:w="993"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-0.1</w:t>
            </w:r>
          </w:p>
        </w:tc>
        <w:tc>
          <w:tcPr>
            <w:tcW w:w="992" w:type="dxa"/>
            <w:tcBorders>
              <w:top w:val="single" w:sz="6" w:space="0" w:color="auto"/>
              <w:left w:val="single" w:sz="6" w:space="0" w:color="auto"/>
              <w:bottom w:val="single" w:sz="6" w:space="0" w:color="auto"/>
              <w:right w:val="single" w:sz="6" w:space="0" w:color="auto"/>
            </w:tcBorders>
          </w:tcPr>
          <w:p w:rsidR="009E1F96" w:rsidRDefault="009E1F96" w:rsidP="00752A88">
            <w:pPr>
              <w:overflowPunct/>
              <w:spacing w:after="0"/>
              <w:jc w:val="both"/>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-22.7</w:t>
            </w:r>
          </w:p>
        </w:tc>
      </w:tr>
    </w:tbl>
    <w:p w:rsidR="009E1F96" w:rsidRDefault="009E1F96" w:rsidP="00752A88">
      <w:pPr>
        <w:jc w:val="both"/>
        <w:rPr>
          <w:lang w:val="en-US"/>
        </w:rPr>
      </w:pPr>
    </w:p>
    <w:p w:rsidR="00C51F9C" w:rsidRDefault="009E1F96" w:rsidP="00752A88">
      <w:pPr>
        <w:jc w:val="both"/>
        <w:rPr>
          <w:lang w:val="en-US"/>
        </w:rPr>
      </w:pPr>
      <w:r>
        <w:rPr>
          <w:lang w:val="en-US"/>
        </w:rPr>
        <w:t xml:space="preserve">The SINR evaluated for these DIP profiles are in the range of (-6.25dB, -0.82dB).  </w:t>
      </w:r>
      <w:r w:rsidR="000B112E">
        <w:rPr>
          <w:lang w:val="en-US"/>
        </w:rPr>
        <w:t>In the case, w</w:t>
      </w:r>
      <w:r>
        <w:rPr>
          <w:lang w:val="en-US"/>
        </w:rPr>
        <w:t xml:space="preserve">e </w:t>
      </w:r>
      <w:r w:rsidR="000B112E">
        <w:rPr>
          <w:lang w:val="en-US"/>
        </w:rPr>
        <w:t xml:space="preserve">may consider to evaluate </w:t>
      </w:r>
      <w:r>
        <w:rPr>
          <w:lang w:val="en-US"/>
        </w:rPr>
        <w:t>IRC performance for QPSK 1</w:t>
      </w:r>
      <w:r w:rsidR="000B112E">
        <w:rPr>
          <w:lang w:val="en-US"/>
        </w:rPr>
        <w:t>/3.  For high order modulation 16QAM and 64QAM, the operation SNR is usually high where the two DIPs are quite marginal.  Therefore we propose to use QPSK 1/3 case as the primary MCS level for desired PUSCH.</w:t>
      </w:r>
    </w:p>
    <w:p w:rsidR="000B112E" w:rsidRPr="000B112E" w:rsidRDefault="000B112E" w:rsidP="00752A88">
      <w:pPr>
        <w:jc w:val="both"/>
        <w:rPr>
          <w:b/>
          <w:i/>
          <w:lang w:val="en-US"/>
        </w:rPr>
      </w:pPr>
      <w:r>
        <w:rPr>
          <w:b/>
          <w:i/>
          <w:lang w:val="en-US"/>
        </w:rPr>
        <w:t>Proposal 4:</w:t>
      </w:r>
      <w:r>
        <w:rPr>
          <w:b/>
          <w:i/>
          <w:lang w:val="en-US"/>
        </w:rPr>
        <w:tab/>
        <w:t>Use QPSK 1/3 case for desired PUSCH to evaluate IRC gain.</w:t>
      </w:r>
    </w:p>
    <w:p w:rsidR="009E1F96" w:rsidRDefault="009E1F96" w:rsidP="00752A88">
      <w:pPr>
        <w:jc w:val="both"/>
        <w:rPr>
          <w:lang w:val="en-US"/>
        </w:rPr>
      </w:pPr>
    </w:p>
    <w:p w:rsidR="00BA0B0A" w:rsidRDefault="0088542B" w:rsidP="00752A88">
      <w:pPr>
        <w:pStyle w:val="Heading3"/>
        <w:jc w:val="both"/>
        <w:rPr>
          <w:kern w:val="2"/>
          <w:lang w:val="en-US"/>
        </w:rPr>
      </w:pPr>
      <w:r>
        <w:rPr>
          <w:kern w:val="2"/>
          <w:lang w:val="en-US"/>
        </w:rPr>
        <w:t>3</w:t>
      </w:r>
      <w:r w:rsidR="00362FBF">
        <w:rPr>
          <w:kern w:val="2"/>
          <w:lang w:val="en-US"/>
        </w:rPr>
        <w:tab/>
        <w:t>Conclusion</w:t>
      </w:r>
    </w:p>
    <w:p w:rsidR="001B14D5" w:rsidRDefault="00614F05" w:rsidP="00752A88">
      <w:pPr>
        <w:jc w:val="both"/>
        <w:rPr>
          <w:lang w:val="en-US"/>
        </w:rPr>
      </w:pPr>
      <w:r>
        <w:rPr>
          <w:lang w:val="en-US"/>
        </w:rPr>
        <w:t>This contribution provided detailed simulator setup for link-level simulation study of BS MMSE-IRC.  Base on our discussion, we propose:</w:t>
      </w:r>
    </w:p>
    <w:p w:rsidR="00614F05" w:rsidRDefault="00614F05" w:rsidP="00614F05">
      <w:pPr>
        <w:jc w:val="both"/>
        <w:rPr>
          <w:b/>
          <w:i/>
          <w:lang w:val="en-US"/>
        </w:rPr>
      </w:pPr>
      <w:r>
        <w:rPr>
          <w:b/>
          <w:i/>
          <w:lang w:val="en-US"/>
        </w:rPr>
        <w:t>Proposal 1:</w:t>
      </w:r>
      <w:r>
        <w:rPr>
          <w:b/>
          <w:i/>
          <w:lang w:val="en-US"/>
        </w:rPr>
        <w:tab/>
        <w:t>Assume two interferers are present all the time with full system bandwidth.</w:t>
      </w:r>
    </w:p>
    <w:p w:rsidR="00614F05" w:rsidRDefault="00614F05" w:rsidP="00614F05">
      <w:pPr>
        <w:jc w:val="both"/>
        <w:rPr>
          <w:b/>
          <w:i/>
          <w:lang w:val="en-US"/>
        </w:rPr>
      </w:pPr>
      <w:r>
        <w:rPr>
          <w:b/>
          <w:i/>
          <w:lang w:val="en-US"/>
        </w:rPr>
        <w:t>Proposal 2:</w:t>
      </w:r>
      <w:r>
        <w:rPr>
          <w:b/>
          <w:i/>
          <w:lang w:val="en-US"/>
        </w:rPr>
        <w:tab/>
        <w:t>The DIP values are fixed for one PUSCH test.</w:t>
      </w:r>
    </w:p>
    <w:p w:rsidR="00614F05" w:rsidRPr="003017AA" w:rsidRDefault="00614F05" w:rsidP="00614F05">
      <w:pPr>
        <w:jc w:val="both"/>
        <w:rPr>
          <w:b/>
          <w:i/>
          <w:lang w:val="en-US"/>
        </w:rPr>
      </w:pPr>
      <w:r>
        <w:rPr>
          <w:b/>
          <w:i/>
          <w:lang w:val="en-US"/>
        </w:rPr>
        <w:t>Proposal 3:</w:t>
      </w:r>
      <w:r>
        <w:rPr>
          <w:b/>
          <w:i/>
          <w:lang w:val="en-US"/>
        </w:rPr>
        <w:tab/>
        <w:t>Single PRB can be defined for the desired PUSCH for IRC evaluation.</w:t>
      </w:r>
    </w:p>
    <w:p w:rsidR="00614F05" w:rsidRPr="000B112E" w:rsidRDefault="00614F05" w:rsidP="00614F05">
      <w:pPr>
        <w:jc w:val="both"/>
        <w:rPr>
          <w:b/>
          <w:i/>
          <w:lang w:val="en-US"/>
        </w:rPr>
      </w:pPr>
      <w:r>
        <w:rPr>
          <w:b/>
          <w:i/>
          <w:lang w:val="en-US"/>
        </w:rPr>
        <w:t>Proposal 4:</w:t>
      </w:r>
      <w:r>
        <w:rPr>
          <w:b/>
          <w:i/>
          <w:lang w:val="en-US"/>
        </w:rPr>
        <w:tab/>
        <w:t>Use QPSK 1/3 case for desired PUSCH to evaluate IRC gain.</w:t>
      </w:r>
    </w:p>
    <w:p w:rsidR="001B14D5" w:rsidRPr="001B14D5" w:rsidRDefault="001B14D5" w:rsidP="00752A88">
      <w:pPr>
        <w:jc w:val="both"/>
        <w:rPr>
          <w:lang w:val="en-US"/>
        </w:rPr>
      </w:pPr>
    </w:p>
    <w:p w:rsidR="00806888" w:rsidRDefault="00806888" w:rsidP="00752A88">
      <w:pPr>
        <w:pStyle w:val="Heading1"/>
        <w:jc w:val="both"/>
        <w:rPr>
          <w:lang w:val="en-US"/>
        </w:rPr>
      </w:pPr>
      <w:r>
        <w:rPr>
          <w:rFonts w:hint="eastAsia"/>
          <w:lang w:val="en-US"/>
        </w:rPr>
        <w:t>Reference</w:t>
      </w:r>
    </w:p>
    <w:p w:rsidR="008228BB" w:rsidRDefault="008228BB" w:rsidP="00752A88">
      <w:pPr>
        <w:ind w:left="720" w:hanging="720"/>
        <w:jc w:val="both"/>
        <w:rPr>
          <w:lang w:val="en-US"/>
        </w:rPr>
      </w:pPr>
      <w:r>
        <w:rPr>
          <w:lang w:val="en-US"/>
        </w:rPr>
        <w:t>[1]</w:t>
      </w:r>
      <w:r>
        <w:rPr>
          <w:lang w:val="en-US"/>
        </w:rPr>
        <w:tab/>
        <w:t>RP-142223</w:t>
      </w:r>
      <w:r>
        <w:rPr>
          <w:lang w:val="en-US"/>
        </w:rPr>
        <w:tab/>
      </w:r>
      <w:r w:rsidR="00FB4DBB">
        <w:rPr>
          <w:lang w:val="en-US"/>
        </w:rPr>
        <w:t>“</w:t>
      </w:r>
      <w:r w:rsidRPr="008228BB">
        <w:rPr>
          <w:lang w:val="en-US"/>
        </w:rPr>
        <w:t>New WI on performance requirements of MMSE-IRC receiver for LTE BS</w:t>
      </w:r>
      <w:r w:rsidR="00FB4DBB">
        <w:rPr>
          <w:lang w:val="en-US"/>
        </w:rPr>
        <w:t>”</w:t>
      </w:r>
      <w:r>
        <w:rPr>
          <w:lang w:val="en-US"/>
        </w:rPr>
        <w:t>, China Telecom, RAN #66, Dec 2014</w:t>
      </w:r>
    </w:p>
    <w:p w:rsidR="0028776F" w:rsidRDefault="0028776F" w:rsidP="00752A88">
      <w:pPr>
        <w:ind w:left="720" w:hanging="720"/>
        <w:jc w:val="both"/>
        <w:rPr>
          <w:lang w:val="en-US"/>
        </w:rPr>
      </w:pPr>
      <w:r>
        <w:rPr>
          <w:lang w:val="en-US"/>
        </w:rPr>
        <w:t>[2]</w:t>
      </w:r>
      <w:r>
        <w:rPr>
          <w:lang w:val="en-US"/>
        </w:rPr>
        <w:tab/>
        <w:t>R4-152525</w:t>
      </w:r>
      <w:r>
        <w:rPr>
          <w:lang w:val="en-US"/>
        </w:rPr>
        <w:tab/>
        <w:t xml:space="preserve">“WF on interference modeling for BS MMSE-IRC receiver”, China Telecom, </w:t>
      </w:r>
      <w:proofErr w:type="spellStart"/>
      <w:r>
        <w:rPr>
          <w:lang w:val="en-US"/>
        </w:rPr>
        <w:t>Huawei</w:t>
      </w:r>
      <w:proofErr w:type="spellEnd"/>
      <w:r>
        <w:rPr>
          <w:lang w:val="en-US"/>
        </w:rPr>
        <w:t>, Nokia Networks, ZTE, Samsung, Alcatel-Lucent, RAN4 #74bis, Apr 2015</w:t>
      </w:r>
    </w:p>
    <w:p w:rsidR="00992EBA" w:rsidRPr="00CF765A" w:rsidRDefault="00992EBA" w:rsidP="00752A88">
      <w:pPr>
        <w:ind w:left="720" w:hanging="720"/>
        <w:jc w:val="both"/>
      </w:pPr>
      <w:r>
        <w:rPr>
          <w:lang w:val="en-US"/>
        </w:rPr>
        <w:t>[3]</w:t>
      </w:r>
      <w:r>
        <w:rPr>
          <w:lang w:val="en-US"/>
        </w:rPr>
        <w:tab/>
        <w:t>R4-153468</w:t>
      </w:r>
      <w:r w:rsidR="00CF765A">
        <w:rPr>
          <w:lang w:val="en-US"/>
        </w:rPr>
        <w:tab/>
        <w:t>“</w:t>
      </w:r>
      <w:r w:rsidR="00CF765A" w:rsidRPr="00CF765A">
        <w:rPr>
          <w:lang w:val="en-US"/>
        </w:rPr>
        <w:t>Methodologies on UL interference profile derivations</w:t>
      </w:r>
      <w:r w:rsidR="00CF765A">
        <w:rPr>
          <w:lang w:val="en-US"/>
        </w:rPr>
        <w:t>”, Nokia Networks, RAN4 #75, May 2015</w:t>
      </w:r>
    </w:p>
    <w:p w:rsidR="006D54AF" w:rsidRPr="009D03AB" w:rsidRDefault="006D54AF" w:rsidP="009D03AB">
      <w:pPr>
        <w:ind w:left="720" w:hanging="720"/>
        <w:jc w:val="both"/>
        <w:rPr>
          <w:lang w:val="en-US"/>
        </w:rPr>
      </w:pPr>
    </w:p>
    <w:sectPr w:rsidR="006D54AF" w:rsidRPr="009D03AB" w:rsidSect="005B12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36E" w:rsidRDefault="0009336E" w:rsidP="0099206E">
      <w:r>
        <w:separator/>
      </w:r>
    </w:p>
  </w:endnote>
  <w:endnote w:type="continuationSeparator" w:id="0">
    <w:p w:rsidR="0009336E" w:rsidRDefault="0009336E" w:rsidP="00992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36E" w:rsidRDefault="0009336E" w:rsidP="0099206E">
      <w:r>
        <w:separator/>
      </w:r>
    </w:p>
  </w:footnote>
  <w:footnote w:type="continuationSeparator" w:id="0">
    <w:p w:rsidR="0009336E" w:rsidRDefault="0009336E"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004E43"/>
    <w:multiLevelType w:val="hybridMultilevel"/>
    <w:tmpl w:val="4350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8A297E"/>
    <w:multiLevelType w:val="hybridMultilevel"/>
    <w:tmpl w:val="6AB631FC"/>
    <w:lvl w:ilvl="0" w:tplc="5E7E6C9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nsid w:val="61442D9A"/>
    <w:multiLevelType w:val="hybridMultilevel"/>
    <w:tmpl w:val="6ABE9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66792A"/>
    <w:multiLevelType w:val="hybridMultilevel"/>
    <w:tmpl w:val="4C0CEB58"/>
    <w:lvl w:ilvl="0" w:tplc="6C628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D264C0"/>
    <w:multiLevelType w:val="hybridMultilevel"/>
    <w:tmpl w:val="CB924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BA6553"/>
    <w:multiLevelType w:val="hybridMultilevel"/>
    <w:tmpl w:val="B7F4B828"/>
    <w:lvl w:ilvl="0" w:tplc="7C1C9FEE">
      <w:start w:val="1"/>
      <w:numFmt w:val="bullet"/>
      <w:lvlText w:val="•"/>
      <w:lvlJc w:val="left"/>
      <w:pPr>
        <w:tabs>
          <w:tab w:val="num" w:pos="720"/>
        </w:tabs>
        <w:ind w:left="720" w:hanging="360"/>
      </w:pPr>
      <w:rPr>
        <w:rFonts w:ascii="Arial" w:hAnsi="Arial" w:hint="default"/>
      </w:rPr>
    </w:lvl>
    <w:lvl w:ilvl="1" w:tplc="E8E0747E">
      <w:start w:val="2703"/>
      <w:numFmt w:val="bullet"/>
      <w:lvlText w:val="–"/>
      <w:lvlJc w:val="left"/>
      <w:pPr>
        <w:tabs>
          <w:tab w:val="num" w:pos="1440"/>
        </w:tabs>
        <w:ind w:left="1440" w:hanging="360"/>
      </w:pPr>
      <w:rPr>
        <w:rFonts w:ascii="Arial" w:hAnsi="Arial" w:hint="default"/>
      </w:rPr>
    </w:lvl>
    <w:lvl w:ilvl="2" w:tplc="66D674AE">
      <w:start w:val="2703"/>
      <w:numFmt w:val="bullet"/>
      <w:lvlText w:val=""/>
      <w:lvlJc w:val="left"/>
      <w:pPr>
        <w:tabs>
          <w:tab w:val="num" w:pos="2160"/>
        </w:tabs>
        <w:ind w:left="2160" w:hanging="360"/>
      </w:pPr>
      <w:rPr>
        <w:rFonts w:ascii="Wingdings" w:hAnsi="Wingdings" w:hint="default"/>
      </w:rPr>
    </w:lvl>
    <w:lvl w:ilvl="3" w:tplc="A0C67AFC" w:tentative="1">
      <w:start w:val="1"/>
      <w:numFmt w:val="bullet"/>
      <w:lvlText w:val="•"/>
      <w:lvlJc w:val="left"/>
      <w:pPr>
        <w:tabs>
          <w:tab w:val="num" w:pos="2880"/>
        </w:tabs>
        <w:ind w:left="2880" w:hanging="360"/>
      </w:pPr>
      <w:rPr>
        <w:rFonts w:ascii="Arial" w:hAnsi="Arial" w:hint="default"/>
      </w:rPr>
    </w:lvl>
    <w:lvl w:ilvl="4" w:tplc="72D4C4C6" w:tentative="1">
      <w:start w:val="1"/>
      <w:numFmt w:val="bullet"/>
      <w:lvlText w:val="•"/>
      <w:lvlJc w:val="left"/>
      <w:pPr>
        <w:tabs>
          <w:tab w:val="num" w:pos="3600"/>
        </w:tabs>
        <w:ind w:left="3600" w:hanging="360"/>
      </w:pPr>
      <w:rPr>
        <w:rFonts w:ascii="Arial" w:hAnsi="Arial" w:hint="default"/>
      </w:rPr>
    </w:lvl>
    <w:lvl w:ilvl="5" w:tplc="69FEA5DC" w:tentative="1">
      <w:start w:val="1"/>
      <w:numFmt w:val="bullet"/>
      <w:lvlText w:val="•"/>
      <w:lvlJc w:val="left"/>
      <w:pPr>
        <w:tabs>
          <w:tab w:val="num" w:pos="4320"/>
        </w:tabs>
        <w:ind w:left="4320" w:hanging="360"/>
      </w:pPr>
      <w:rPr>
        <w:rFonts w:ascii="Arial" w:hAnsi="Arial" w:hint="default"/>
      </w:rPr>
    </w:lvl>
    <w:lvl w:ilvl="6" w:tplc="80DE6CBC" w:tentative="1">
      <w:start w:val="1"/>
      <w:numFmt w:val="bullet"/>
      <w:lvlText w:val="•"/>
      <w:lvlJc w:val="left"/>
      <w:pPr>
        <w:tabs>
          <w:tab w:val="num" w:pos="5040"/>
        </w:tabs>
        <w:ind w:left="5040" w:hanging="360"/>
      </w:pPr>
      <w:rPr>
        <w:rFonts w:ascii="Arial" w:hAnsi="Arial" w:hint="default"/>
      </w:rPr>
    </w:lvl>
    <w:lvl w:ilvl="7" w:tplc="D2D034C2" w:tentative="1">
      <w:start w:val="1"/>
      <w:numFmt w:val="bullet"/>
      <w:lvlText w:val="•"/>
      <w:lvlJc w:val="left"/>
      <w:pPr>
        <w:tabs>
          <w:tab w:val="num" w:pos="5760"/>
        </w:tabs>
        <w:ind w:left="5760" w:hanging="360"/>
      </w:pPr>
      <w:rPr>
        <w:rFonts w:ascii="Arial" w:hAnsi="Arial" w:hint="default"/>
      </w:rPr>
    </w:lvl>
    <w:lvl w:ilvl="8" w:tplc="58C884E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0"/>
  </w:num>
  <w:num w:numId="4">
    <w:abstractNumId w:val="3"/>
  </w:num>
  <w:num w:numId="5">
    <w:abstractNumId w:val="8"/>
  </w:num>
  <w:num w:numId="6">
    <w:abstractNumId w:val="2"/>
  </w:num>
  <w:num w:numId="7">
    <w:abstractNumId w:val="5"/>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C62060"/>
    <w:rsid w:val="00005D55"/>
    <w:rsid w:val="00010225"/>
    <w:rsid w:val="00010256"/>
    <w:rsid w:val="000122D8"/>
    <w:rsid w:val="00015187"/>
    <w:rsid w:val="00015AE5"/>
    <w:rsid w:val="00015B1F"/>
    <w:rsid w:val="00016AB9"/>
    <w:rsid w:val="000171ED"/>
    <w:rsid w:val="00017818"/>
    <w:rsid w:val="000221C4"/>
    <w:rsid w:val="00023174"/>
    <w:rsid w:val="00026B95"/>
    <w:rsid w:val="00031110"/>
    <w:rsid w:val="0003373D"/>
    <w:rsid w:val="00033D97"/>
    <w:rsid w:val="00034159"/>
    <w:rsid w:val="00035F05"/>
    <w:rsid w:val="000401DC"/>
    <w:rsid w:val="0004460E"/>
    <w:rsid w:val="000454CF"/>
    <w:rsid w:val="00051024"/>
    <w:rsid w:val="00052632"/>
    <w:rsid w:val="00052E51"/>
    <w:rsid w:val="0005598F"/>
    <w:rsid w:val="00060D52"/>
    <w:rsid w:val="000701CE"/>
    <w:rsid w:val="00074B5C"/>
    <w:rsid w:val="00076C8B"/>
    <w:rsid w:val="0008092C"/>
    <w:rsid w:val="000835CC"/>
    <w:rsid w:val="00083D29"/>
    <w:rsid w:val="00084A56"/>
    <w:rsid w:val="00085C29"/>
    <w:rsid w:val="0008720E"/>
    <w:rsid w:val="000879AF"/>
    <w:rsid w:val="000917F5"/>
    <w:rsid w:val="0009198D"/>
    <w:rsid w:val="0009336E"/>
    <w:rsid w:val="0009423E"/>
    <w:rsid w:val="00094C9F"/>
    <w:rsid w:val="00094EC4"/>
    <w:rsid w:val="00095F8A"/>
    <w:rsid w:val="00097663"/>
    <w:rsid w:val="000979E4"/>
    <w:rsid w:val="000A1243"/>
    <w:rsid w:val="000A2357"/>
    <w:rsid w:val="000A6D6F"/>
    <w:rsid w:val="000B112E"/>
    <w:rsid w:val="000B3270"/>
    <w:rsid w:val="000B36A2"/>
    <w:rsid w:val="000B5A58"/>
    <w:rsid w:val="000B7356"/>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4C66"/>
    <w:rsid w:val="000F10FE"/>
    <w:rsid w:val="000F17A3"/>
    <w:rsid w:val="000F182B"/>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957"/>
    <w:rsid w:val="00117C7C"/>
    <w:rsid w:val="001251D9"/>
    <w:rsid w:val="0013043E"/>
    <w:rsid w:val="00130572"/>
    <w:rsid w:val="00132492"/>
    <w:rsid w:val="00132625"/>
    <w:rsid w:val="00132957"/>
    <w:rsid w:val="001338AF"/>
    <w:rsid w:val="001369BA"/>
    <w:rsid w:val="001409E2"/>
    <w:rsid w:val="00140DDC"/>
    <w:rsid w:val="00141C57"/>
    <w:rsid w:val="00146C6F"/>
    <w:rsid w:val="00150523"/>
    <w:rsid w:val="00152E6C"/>
    <w:rsid w:val="0015394C"/>
    <w:rsid w:val="001573C8"/>
    <w:rsid w:val="00170648"/>
    <w:rsid w:val="001712C3"/>
    <w:rsid w:val="00172B1C"/>
    <w:rsid w:val="001733C9"/>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4D5"/>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105B"/>
    <w:rsid w:val="001E29E4"/>
    <w:rsid w:val="001E2F75"/>
    <w:rsid w:val="001E430C"/>
    <w:rsid w:val="001E6C54"/>
    <w:rsid w:val="001E7084"/>
    <w:rsid w:val="001E796A"/>
    <w:rsid w:val="001F0A02"/>
    <w:rsid w:val="001F2FA4"/>
    <w:rsid w:val="001F3438"/>
    <w:rsid w:val="001F7AF1"/>
    <w:rsid w:val="0020031D"/>
    <w:rsid w:val="00201700"/>
    <w:rsid w:val="00203A11"/>
    <w:rsid w:val="002051CE"/>
    <w:rsid w:val="00206E2B"/>
    <w:rsid w:val="0020793A"/>
    <w:rsid w:val="002131AC"/>
    <w:rsid w:val="00215315"/>
    <w:rsid w:val="0021724B"/>
    <w:rsid w:val="00221416"/>
    <w:rsid w:val="00221895"/>
    <w:rsid w:val="00221BD9"/>
    <w:rsid w:val="00223FE6"/>
    <w:rsid w:val="00225EE5"/>
    <w:rsid w:val="002276C9"/>
    <w:rsid w:val="002321FD"/>
    <w:rsid w:val="0023390F"/>
    <w:rsid w:val="00234960"/>
    <w:rsid w:val="002403D2"/>
    <w:rsid w:val="00240F21"/>
    <w:rsid w:val="0024152E"/>
    <w:rsid w:val="00245A91"/>
    <w:rsid w:val="0025066F"/>
    <w:rsid w:val="002513AD"/>
    <w:rsid w:val="002518C9"/>
    <w:rsid w:val="00252F4D"/>
    <w:rsid w:val="00254FC8"/>
    <w:rsid w:val="002618A3"/>
    <w:rsid w:val="00262C32"/>
    <w:rsid w:val="00263663"/>
    <w:rsid w:val="00264BD4"/>
    <w:rsid w:val="00266078"/>
    <w:rsid w:val="002666DF"/>
    <w:rsid w:val="00266DC9"/>
    <w:rsid w:val="002670CD"/>
    <w:rsid w:val="002702C1"/>
    <w:rsid w:val="00272101"/>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76F"/>
    <w:rsid w:val="00287D40"/>
    <w:rsid w:val="00293475"/>
    <w:rsid w:val="0029743E"/>
    <w:rsid w:val="002978A5"/>
    <w:rsid w:val="002A0402"/>
    <w:rsid w:val="002A52EA"/>
    <w:rsid w:val="002A569A"/>
    <w:rsid w:val="002A5F7B"/>
    <w:rsid w:val="002A60FB"/>
    <w:rsid w:val="002B0302"/>
    <w:rsid w:val="002B1763"/>
    <w:rsid w:val="002B7B7F"/>
    <w:rsid w:val="002C21BA"/>
    <w:rsid w:val="002C4CA0"/>
    <w:rsid w:val="002C7A6C"/>
    <w:rsid w:val="002C7A74"/>
    <w:rsid w:val="002D0BAC"/>
    <w:rsid w:val="002D15EB"/>
    <w:rsid w:val="002D21B9"/>
    <w:rsid w:val="002D2D2E"/>
    <w:rsid w:val="002D6281"/>
    <w:rsid w:val="002F1A43"/>
    <w:rsid w:val="002F4E33"/>
    <w:rsid w:val="002F70F4"/>
    <w:rsid w:val="002F7218"/>
    <w:rsid w:val="002F77E2"/>
    <w:rsid w:val="003017AA"/>
    <w:rsid w:val="0030266B"/>
    <w:rsid w:val="00303CB4"/>
    <w:rsid w:val="0030466E"/>
    <w:rsid w:val="00304DA3"/>
    <w:rsid w:val="003071B4"/>
    <w:rsid w:val="00312BE4"/>
    <w:rsid w:val="00313AD3"/>
    <w:rsid w:val="00317E53"/>
    <w:rsid w:val="003216CA"/>
    <w:rsid w:val="00323484"/>
    <w:rsid w:val="0032368C"/>
    <w:rsid w:val="00323EEF"/>
    <w:rsid w:val="003271FC"/>
    <w:rsid w:val="0033127B"/>
    <w:rsid w:val="00333864"/>
    <w:rsid w:val="00337E10"/>
    <w:rsid w:val="00340FD7"/>
    <w:rsid w:val="003551D9"/>
    <w:rsid w:val="00355B87"/>
    <w:rsid w:val="003578F5"/>
    <w:rsid w:val="00360860"/>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5770"/>
    <w:rsid w:val="00395ADA"/>
    <w:rsid w:val="003A02A4"/>
    <w:rsid w:val="003A2A39"/>
    <w:rsid w:val="003A2C89"/>
    <w:rsid w:val="003A2E1F"/>
    <w:rsid w:val="003B60AB"/>
    <w:rsid w:val="003C6804"/>
    <w:rsid w:val="003C7562"/>
    <w:rsid w:val="003D1A7A"/>
    <w:rsid w:val="003D1AB1"/>
    <w:rsid w:val="003D1F58"/>
    <w:rsid w:val="003D2696"/>
    <w:rsid w:val="003D58E0"/>
    <w:rsid w:val="003D62C4"/>
    <w:rsid w:val="003E0CAD"/>
    <w:rsid w:val="003E0D2E"/>
    <w:rsid w:val="003E1375"/>
    <w:rsid w:val="003E2286"/>
    <w:rsid w:val="003E279E"/>
    <w:rsid w:val="003E2FF4"/>
    <w:rsid w:val="003E3AEA"/>
    <w:rsid w:val="003F0B60"/>
    <w:rsid w:val="003F1F33"/>
    <w:rsid w:val="003F60D5"/>
    <w:rsid w:val="003F7C20"/>
    <w:rsid w:val="004013B7"/>
    <w:rsid w:val="004018E5"/>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4F01"/>
    <w:rsid w:val="004256D6"/>
    <w:rsid w:val="00426814"/>
    <w:rsid w:val="00427115"/>
    <w:rsid w:val="004275EF"/>
    <w:rsid w:val="00427A27"/>
    <w:rsid w:val="004312B8"/>
    <w:rsid w:val="00432C79"/>
    <w:rsid w:val="00433DE2"/>
    <w:rsid w:val="00434B3B"/>
    <w:rsid w:val="00436307"/>
    <w:rsid w:val="00436BC7"/>
    <w:rsid w:val="00441571"/>
    <w:rsid w:val="00441C4A"/>
    <w:rsid w:val="00442121"/>
    <w:rsid w:val="00443B01"/>
    <w:rsid w:val="00444593"/>
    <w:rsid w:val="00444804"/>
    <w:rsid w:val="004448E1"/>
    <w:rsid w:val="00444DF3"/>
    <w:rsid w:val="00446BF9"/>
    <w:rsid w:val="00446D24"/>
    <w:rsid w:val="00451173"/>
    <w:rsid w:val="00451714"/>
    <w:rsid w:val="004564F4"/>
    <w:rsid w:val="004568B9"/>
    <w:rsid w:val="00463497"/>
    <w:rsid w:val="004641F1"/>
    <w:rsid w:val="00464996"/>
    <w:rsid w:val="004677A9"/>
    <w:rsid w:val="0047071A"/>
    <w:rsid w:val="004714B7"/>
    <w:rsid w:val="00471C85"/>
    <w:rsid w:val="004731D6"/>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51F5"/>
    <w:rsid w:val="004A5F75"/>
    <w:rsid w:val="004B2294"/>
    <w:rsid w:val="004B54AC"/>
    <w:rsid w:val="004C0C91"/>
    <w:rsid w:val="004C0F6A"/>
    <w:rsid w:val="004C3FF3"/>
    <w:rsid w:val="004D24BE"/>
    <w:rsid w:val="004D5B9A"/>
    <w:rsid w:val="004D65FF"/>
    <w:rsid w:val="004D69E6"/>
    <w:rsid w:val="004D7669"/>
    <w:rsid w:val="004E3352"/>
    <w:rsid w:val="004E5382"/>
    <w:rsid w:val="004E7D32"/>
    <w:rsid w:val="004F3119"/>
    <w:rsid w:val="004F4EA5"/>
    <w:rsid w:val="004F53C8"/>
    <w:rsid w:val="004F794F"/>
    <w:rsid w:val="0050080C"/>
    <w:rsid w:val="00501EB6"/>
    <w:rsid w:val="005079C6"/>
    <w:rsid w:val="00511100"/>
    <w:rsid w:val="00520448"/>
    <w:rsid w:val="00520B92"/>
    <w:rsid w:val="0052229F"/>
    <w:rsid w:val="005232D2"/>
    <w:rsid w:val="005243BB"/>
    <w:rsid w:val="005267B5"/>
    <w:rsid w:val="0052707C"/>
    <w:rsid w:val="005270E1"/>
    <w:rsid w:val="005275CA"/>
    <w:rsid w:val="00536F07"/>
    <w:rsid w:val="0054735E"/>
    <w:rsid w:val="00547D6A"/>
    <w:rsid w:val="0055096E"/>
    <w:rsid w:val="00551A87"/>
    <w:rsid w:val="00553FA2"/>
    <w:rsid w:val="005551B4"/>
    <w:rsid w:val="00555351"/>
    <w:rsid w:val="0055699C"/>
    <w:rsid w:val="00556E6F"/>
    <w:rsid w:val="0055757F"/>
    <w:rsid w:val="00563878"/>
    <w:rsid w:val="00563EF0"/>
    <w:rsid w:val="00564A3B"/>
    <w:rsid w:val="00566561"/>
    <w:rsid w:val="00572630"/>
    <w:rsid w:val="005736BF"/>
    <w:rsid w:val="00576392"/>
    <w:rsid w:val="005777DB"/>
    <w:rsid w:val="005806AC"/>
    <w:rsid w:val="00580888"/>
    <w:rsid w:val="00582658"/>
    <w:rsid w:val="005870AF"/>
    <w:rsid w:val="0058728C"/>
    <w:rsid w:val="005923FB"/>
    <w:rsid w:val="00593093"/>
    <w:rsid w:val="00596274"/>
    <w:rsid w:val="005A21E6"/>
    <w:rsid w:val="005A5274"/>
    <w:rsid w:val="005A5897"/>
    <w:rsid w:val="005A6336"/>
    <w:rsid w:val="005A6DDF"/>
    <w:rsid w:val="005B120F"/>
    <w:rsid w:val="005B2DBE"/>
    <w:rsid w:val="005B31F1"/>
    <w:rsid w:val="005B3306"/>
    <w:rsid w:val="005B4C8C"/>
    <w:rsid w:val="005B7C4A"/>
    <w:rsid w:val="005C15C6"/>
    <w:rsid w:val="005C2756"/>
    <w:rsid w:val="005C34EF"/>
    <w:rsid w:val="005C3B89"/>
    <w:rsid w:val="005C43F1"/>
    <w:rsid w:val="005C6380"/>
    <w:rsid w:val="005C67F7"/>
    <w:rsid w:val="005D085B"/>
    <w:rsid w:val="005D0B0F"/>
    <w:rsid w:val="005D0FDA"/>
    <w:rsid w:val="005D44A8"/>
    <w:rsid w:val="005D4810"/>
    <w:rsid w:val="005D4D58"/>
    <w:rsid w:val="005D60D7"/>
    <w:rsid w:val="005E20AB"/>
    <w:rsid w:val="005E2C3E"/>
    <w:rsid w:val="005E4373"/>
    <w:rsid w:val="005E4FCA"/>
    <w:rsid w:val="005E5649"/>
    <w:rsid w:val="005E6196"/>
    <w:rsid w:val="005F044F"/>
    <w:rsid w:val="005F04F4"/>
    <w:rsid w:val="005F3878"/>
    <w:rsid w:val="005F4786"/>
    <w:rsid w:val="005F4EC3"/>
    <w:rsid w:val="005F767B"/>
    <w:rsid w:val="005F7A29"/>
    <w:rsid w:val="00601025"/>
    <w:rsid w:val="0060301D"/>
    <w:rsid w:val="00612E95"/>
    <w:rsid w:val="006138E3"/>
    <w:rsid w:val="00614F05"/>
    <w:rsid w:val="00615210"/>
    <w:rsid w:val="00615462"/>
    <w:rsid w:val="00615A02"/>
    <w:rsid w:val="00621F74"/>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5D9B"/>
    <w:rsid w:val="00680FF4"/>
    <w:rsid w:val="006847F1"/>
    <w:rsid w:val="00685C91"/>
    <w:rsid w:val="0068719D"/>
    <w:rsid w:val="006A0CE9"/>
    <w:rsid w:val="006A2BD1"/>
    <w:rsid w:val="006A45CC"/>
    <w:rsid w:val="006A5500"/>
    <w:rsid w:val="006A5F32"/>
    <w:rsid w:val="006A6FDC"/>
    <w:rsid w:val="006B0C3E"/>
    <w:rsid w:val="006B0E2D"/>
    <w:rsid w:val="006B109D"/>
    <w:rsid w:val="006B1279"/>
    <w:rsid w:val="006B1AEA"/>
    <w:rsid w:val="006B3AFC"/>
    <w:rsid w:val="006B3E5E"/>
    <w:rsid w:val="006B7A1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F137F"/>
    <w:rsid w:val="006F323D"/>
    <w:rsid w:val="006F5F06"/>
    <w:rsid w:val="006F62DF"/>
    <w:rsid w:val="006F6E19"/>
    <w:rsid w:val="006F7E63"/>
    <w:rsid w:val="00705D0E"/>
    <w:rsid w:val="00706880"/>
    <w:rsid w:val="00706B11"/>
    <w:rsid w:val="00707B12"/>
    <w:rsid w:val="0071176D"/>
    <w:rsid w:val="007128A1"/>
    <w:rsid w:val="007132EE"/>
    <w:rsid w:val="0072086B"/>
    <w:rsid w:val="00721AF1"/>
    <w:rsid w:val="0072225B"/>
    <w:rsid w:val="007236F0"/>
    <w:rsid w:val="007240E2"/>
    <w:rsid w:val="00724161"/>
    <w:rsid w:val="00724340"/>
    <w:rsid w:val="007248C3"/>
    <w:rsid w:val="00725AE5"/>
    <w:rsid w:val="00725BE4"/>
    <w:rsid w:val="0072641F"/>
    <w:rsid w:val="00726BCC"/>
    <w:rsid w:val="00731570"/>
    <w:rsid w:val="00736D00"/>
    <w:rsid w:val="00743380"/>
    <w:rsid w:val="00743C02"/>
    <w:rsid w:val="00744F61"/>
    <w:rsid w:val="00745D08"/>
    <w:rsid w:val="00746152"/>
    <w:rsid w:val="00752A88"/>
    <w:rsid w:val="00752B11"/>
    <w:rsid w:val="00754BC3"/>
    <w:rsid w:val="007555C8"/>
    <w:rsid w:val="007570CA"/>
    <w:rsid w:val="00761670"/>
    <w:rsid w:val="0077433A"/>
    <w:rsid w:val="00775362"/>
    <w:rsid w:val="0077759B"/>
    <w:rsid w:val="00782977"/>
    <w:rsid w:val="007832CA"/>
    <w:rsid w:val="0078408A"/>
    <w:rsid w:val="00785B72"/>
    <w:rsid w:val="00787800"/>
    <w:rsid w:val="007878A0"/>
    <w:rsid w:val="007909E3"/>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BA9"/>
    <w:rsid w:val="007D2E73"/>
    <w:rsid w:val="007D2F1B"/>
    <w:rsid w:val="007D3FF2"/>
    <w:rsid w:val="007D40A0"/>
    <w:rsid w:val="007D5150"/>
    <w:rsid w:val="007E4067"/>
    <w:rsid w:val="007E58A4"/>
    <w:rsid w:val="007E7B10"/>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20C5E"/>
    <w:rsid w:val="008215CA"/>
    <w:rsid w:val="00821F0B"/>
    <w:rsid w:val="008228BB"/>
    <w:rsid w:val="008237F3"/>
    <w:rsid w:val="00824C0F"/>
    <w:rsid w:val="00826899"/>
    <w:rsid w:val="00831AA0"/>
    <w:rsid w:val="0083269C"/>
    <w:rsid w:val="00832F3D"/>
    <w:rsid w:val="00833F2F"/>
    <w:rsid w:val="0083544B"/>
    <w:rsid w:val="00836329"/>
    <w:rsid w:val="00837562"/>
    <w:rsid w:val="00837DF2"/>
    <w:rsid w:val="00845520"/>
    <w:rsid w:val="008515A9"/>
    <w:rsid w:val="00854909"/>
    <w:rsid w:val="00856989"/>
    <w:rsid w:val="0085775F"/>
    <w:rsid w:val="008578E7"/>
    <w:rsid w:val="00860D5D"/>
    <w:rsid w:val="008612B7"/>
    <w:rsid w:val="00863D38"/>
    <w:rsid w:val="00865E30"/>
    <w:rsid w:val="00870A67"/>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7A21"/>
    <w:rsid w:val="008B09EC"/>
    <w:rsid w:val="008B1569"/>
    <w:rsid w:val="008B17C0"/>
    <w:rsid w:val="008B1E4B"/>
    <w:rsid w:val="008B3298"/>
    <w:rsid w:val="008B4812"/>
    <w:rsid w:val="008B5B66"/>
    <w:rsid w:val="008B7723"/>
    <w:rsid w:val="008C4CD6"/>
    <w:rsid w:val="008C560F"/>
    <w:rsid w:val="008D1089"/>
    <w:rsid w:val="008D3074"/>
    <w:rsid w:val="008D4AE1"/>
    <w:rsid w:val="008D5B26"/>
    <w:rsid w:val="008D6AF0"/>
    <w:rsid w:val="008D72F1"/>
    <w:rsid w:val="008E08DA"/>
    <w:rsid w:val="008E2FF9"/>
    <w:rsid w:val="008E60F6"/>
    <w:rsid w:val="008E7FA1"/>
    <w:rsid w:val="008F0D8C"/>
    <w:rsid w:val="008F21CF"/>
    <w:rsid w:val="008F2AEE"/>
    <w:rsid w:val="00900750"/>
    <w:rsid w:val="009020DB"/>
    <w:rsid w:val="00903A0F"/>
    <w:rsid w:val="0090488E"/>
    <w:rsid w:val="00904B2D"/>
    <w:rsid w:val="00904D1A"/>
    <w:rsid w:val="0090662C"/>
    <w:rsid w:val="00911731"/>
    <w:rsid w:val="00911D78"/>
    <w:rsid w:val="00913C47"/>
    <w:rsid w:val="00914426"/>
    <w:rsid w:val="00914A5C"/>
    <w:rsid w:val="00914C63"/>
    <w:rsid w:val="00915F48"/>
    <w:rsid w:val="00916B21"/>
    <w:rsid w:val="00917765"/>
    <w:rsid w:val="00920B59"/>
    <w:rsid w:val="009211E4"/>
    <w:rsid w:val="00921513"/>
    <w:rsid w:val="00922CA5"/>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4AE"/>
    <w:rsid w:val="00962E22"/>
    <w:rsid w:val="00964A94"/>
    <w:rsid w:val="00966060"/>
    <w:rsid w:val="00972CF6"/>
    <w:rsid w:val="00973A6A"/>
    <w:rsid w:val="00976F0A"/>
    <w:rsid w:val="009800AB"/>
    <w:rsid w:val="00980166"/>
    <w:rsid w:val="0098150C"/>
    <w:rsid w:val="00981E83"/>
    <w:rsid w:val="00982B5F"/>
    <w:rsid w:val="00983917"/>
    <w:rsid w:val="00983AEB"/>
    <w:rsid w:val="0098494E"/>
    <w:rsid w:val="00985295"/>
    <w:rsid w:val="00986875"/>
    <w:rsid w:val="00987694"/>
    <w:rsid w:val="0099137B"/>
    <w:rsid w:val="009913C8"/>
    <w:rsid w:val="0099206E"/>
    <w:rsid w:val="00992EBA"/>
    <w:rsid w:val="00995181"/>
    <w:rsid w:val="00995A62"/>
    <w:rsid w:val="00997972"/>
    <w:rsid w:val="009A4CEA"/>
    <w:rsid w:val="009A5684"/>
    <w:rsid w:val="009A5F74"/>
    <w:rsid w:val="009B0C3C"/>
    <w:rsid w:val="009B1150"/>
    <w:rsid w:val="009B416A"/>
    <w:rsid w:val="009B503B"/>
    <w:rsid w:val="009C1F84"/>
    <w:rsid w:val="009C4F07"/>
    <w:rsid w:val="009D03AB"/>
    <w:rsid w:val="009D0599"/>
    <w:rsid w:val="009D0653"/>
    <w:rsid w:val="009D1488"/>
    <w:rsid w:val="009D5A59"/>
    <w:rsid w:val="009D6D31"/>
    <w:rsid w:val="009E1F96"/>
    <w:rsid w:val="009E22B5"/>
    <w:rsid w:val="009E38E5"/>
    <w:rsid w:val="009E450D"/>
    <w:rsid w:val="009E5C50"/>
    <w:rsid w:val="009F0450"/>
    <w:rsid w:val="009F058D"/>
    <w:rsid w:val="009F38FF"/>
    <w:rsid w:val="009F5F42"/>
    <w:rsid w:val="009F7536"/>
    <w:rsid w:val="00A009B7"/>
    <w:rsid w:val="00A03B29"/>
    <w:rsid w:val="00A03B88"/>
    <w:rsid w:val="00A047E6"/>
    <w:rsid w:val="00A05970"/>
    <w:rsid w:val="00A10C74"/>
    <w:rsid w:val="00A10E91"/>
    <w:rsid w:val="00A11671"/>
    <w:rsid w:val="00A12712"/>
    <w:rsid w:val="00A13317"/>
    <w:rsid w:val="00A13968"/>
    <w:rsid w:val="00A15BF9"/>
    <w:rsid w:val="00A16C45"/>
    <w:rsid w:val="00A20CB9"/>
    <w:rsid w:val="00A24007"/>
    <w:rsid w:val="00A265EF"/>
    <w:rsid w:val="00A300BB"/>
    <w:rsid w:val="00A331AE"/>
    <w:rsid w:val="00A33C3A"/>
    <w:rsid w:val="00A34203"/>
    <w:rsid w:val="00A35529"/>
    <w:rsid w:val="00A36A32"/>
    <w:rsid w:val="00A376A2"/>
    <w:rsid w:val="00A4352D"/>
    <w:rsid w:val="00A43E6F"/>
    <w:rsid w:val="00A446B1"/>
    <w:rsid w:val="00A47222"/>
    <w:rsid w:val="00A4738C"/>
    <w:rsid w:val="00A50A38"/>
    <w:rsid w:val="00A5258F"/>
    <w:rsid w:val="00A526C5"/>
    <w:rsid w:val="00A6159A"/>
    <w:rsid w:val="00A621C6"/>
    <w:rsid w:val="00A630B1"/>
    <w:rsid w:val="00A64CD6"/>
    <w:rsid w:val="00A651AD"/>
    <w:rsid w:val="00A71E70"/>
    <w:rsid w:val="00A802FB"/>
    <w:rsid w:val="00A81ECC"/>
    <w:rsid w:val="00A82251"/>
    <w:rsid w:val="00A8257E"/>
    <w:rsid w:val="00A8292D"/>
    <w:rsid w:val="00A86000"/>
    <w:rsid w:val="00A87A81"/>
    <w:rsid w:val="00A9274F"/>
    <w:rsid w:val="00A93C9A"/>
    <w:rsid w:val="00A953EC"/>
    <w:rsid w:val="00A95A1B"/>
    <w:rsid w:val="00AA0E6F"/>
    <w:rsid w:val="00AA4E99"/>
    <w:rsid w:val="00AA6815"/>
    <w:rsid w:val="00AA68FD"/>
    <w:rsid w:val="00AB0508"/>
    <w:rsid w:val="00AB1142"/>
    <w:rsid w:val="00AB14E5"/>
    <w:rsid w:val="00AB5E38"/>
    <w:rsid w:val="00AB7B6C"/>
    <w:rsid w:val="00AC0B37"/>
    <w:rsid w:val="00AC28F0"/>
    <w:rsid w:val="00AC3D79"/>
    <w:rsid w:val="00AC4131"/>
    <w:rsid w:val="00AC4470"/>
    <w:rsid w:val="00AC747F"/>
    <w:rsid w:val="00AC7851"/>
    <w:rsid w:val="00AD0509"/>
    <w:rsid w:val="00AD2C4F"/>
    <w:rsid w:val="00AD311D"/>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95E"/>
    <w:rsid w:val="00AF65D9"/>
    <w:rsid w:val="00B02530"/>
    <w:rsid w:val="00B059B8"/>
    <w:rsid w:val="00B07261"/>
    <w:rsid w:val="00B1105B"/>
    <w:rsid w:val="00B11690"/>
    <w:rsid w:val="00B11AF8"/>
    <w:rsid w:val="00B12A71"/>
    <w:rsid w:val="00B134AF"/>
    <w:rsid w:val="00B13E52"/>
    <w:rsid w:val="00B15D8E"/>
    <w:rsid w:val="00B20074"/>
    <w:rsid w:val="00B23263"/>
    <w:rsid w:val="00B278CD"/>
    <w:rsid w:val="00B310CA"/>
    <w:rsid w:val="00B35859"/>
    <w:rsid w:val="00B35CC3"/>
    <w:rsid w:val="00B36CFB"/>
    <w:rsid w:val="00B3715E"/>
    <w:rsid w:val="00B41818"/>
    <w:rsid w:val="00B42CB7"/>
    <w:rsid w:val="00B45465"/>
    <w:rsid w:val="00B51ED7"/>
    <w:rsid w:val="00B52B1C"/>
    <w:rsid w:val="00B54088"/>
    <w:rsid w:val="00B543E2"/>
    <w:rsid w:val="00B60B64"/>
    <w:rsid w:val="00B66ADC"/>
    <w:rsid w:val="00B67F4A"/>
    <w:rsid w:val="00B70815"/>
    <w:rsid w:val="00B70A6D"/>
    <w:rsid w:val="00B7213D"/>
    <w:rsid w:val="00B72A0F"/>
    <w:rsid w:val="00B733BB"/>
    <w:rsid w:val="00B76FAA"/>
    <w:rsid w:val="00B77CDD"/>
    <w:rsid w:val="00B80B2E"/>
    <w:rsid w:val="00B81E08"/>
    <w:rsid w:val="00B8470A"/>
    <w:rsid w:val="00B90405"/>
    <w:rsid w:val="00B92CB3"/>
    <w:rsid w:val="00B939B4"/>
    <w:rsid w:val="00B95AF4"/>
    <w:rsid w:val="00B95CA6"/>
    <w:rsid w:val="00B9646E"/>
    <w:rsid w:val="00B96F36"/>
    <w:rsid w:val="00BA0B0A"/>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00B"/>
    <w:rsid w:val="00BF32A5"/>
    <w:rsid w:val="00BF3F36"/>
    <w:rsid w:val="00BF4835"/>
    <w:rsid w:val="00BF4C8A"/>
    <w:rsid w:val="00BF69FF"/>
    <w:rsid w:val="00C0209B"/>
    <w:rsid w:val="00C03AC7"/>
    <w:rsid w:val="00C040AA"/>
    <w:rsid w:val="00C05304"/>
    <w:rsid w:val="00C074F9"/>
    <w:rsid w:val="00C15F93"/>
    <w:rsid w:val="00C20912"/>
    <w:rsid w:val="00C250C1"/>
    <w:rsid w:val="00C258F5"/>
    <w:rsid w:val="00C2616C"/>
    <w:rsid w:val="00C2759E"/>
    <w:rsid w:val="00C27E69"/>
    <w:rsid w:val="00C31131"/>
    <w:rsid w:val="00C32529"/>
    <w:rsid w:val="00C33873"/>
    <w:rsid w:val="00C35163"/>
    <w:rsid w:val="00C35B65"/>
    <w:rsid w:val="00C37CF9"/>
    <w:rsid w:val="00C43E41"/>
    <w:rsid w:val="00C45F3B"/>
    <w:rsid w:val="00C51927"/>
    <w:rsid w:val="00C51F9C"/>
    <w:rsid w:val="00C54A1E"/>
    <w:rsid w:val="00C55330"/>
    <w:rsid w:val="00C56852"/>
    <w:rsid w:val="00C57758"/>
    <w:rsid w:val="00C60B60"/>
    <w:rsid w:val="00C62060"/>
    <w:rsid w:val="00C625D4"/>
    <w:rsid w:val="00C66061"/>
    <w:rsid w:val="00C67A01"/>
    <w:rsid w:val="00C70FD6"/>
    <w:rsid w:val="00C71F7C"/>
    <w:rsid w:val="00C73B28"/>
    <w:rsid w:val="00C77FA9"/>
    <w:rsid w:val="00C81444"/>
    <w:rsid w:val="00C82382"/>
    <w:rsid w:val="00C82673"/>
    <w:rsid w:val="00C82886"/>
    <w:rsid w:val="00C84000"/>
    <w:rsid w:val="00C90D25"/>
    <w:rsid w:val="00C90F1D"/>
    <w:rsid w:val="00C92A89"/>
    <w:rsid w:val="00C92C5D"/>
    <w:rsid w:val="00C939EF"/>
    <w:rsid w:val="00C9495F"/>
    <w:rsid w:val="00C94D38"/>
    <w:rsid w:val="00C951BA"/>
    <w:rsid w:val="00C959C2"/>
    <w:rsid w:val="00C95EF5"/>
    <w:rsid w:val="00C96895"/>
    <w:rsid w:val="00C96DF0"/>
    <w:rsid w:val="00C9763B"/>
    <w:rsid w:val="00CA1321"/>
    <w:rsid w:val="00CA37DA"/>
    <w:rsid w:val="00CB12D3"/>
    <w:rsid w:val="00CB2529"/>
    <w:rsid w:val="00CB3E49"/>
    <w:rsid w:val="00CB552A"/>
    <w:rsid w:val="00CB5E61"/>
    <w:rsid w:val="00CC0A1F"/>
    <w:rsid w:val="00CC0C80"/>
    <w:rsid w:val="00CC2975"/>
    <w:rsid w:val="00CC68BB"/>
    <w:rsid w:val="00CD091C"/>
    <w:rsid w:val="00CD3BB2"/>
    <w:rsid w:val="00CD5641"/>
    <w:rsid w:val="00CD674E"/>
    <w:rsid w:val="00CE0707"/>
    <w:rsid w:val="00CE0C89"/>
    <w:rsid w:val="00CE228D"/>
    <w:rsid w:val="00CE25CE"/>
    <w:rsid w:val="00CE51B6"/>
    <w:rsid w:val="00CE590D"/>
    <w:rsid w:val="00CF1F7C"/>
    <w:rsid w:val="00CF21FF"/>
    <w:rsid w:val="00CF42D1"/>
    <w:rsid w:val="00CF6475"/>
    <w:rsid w:val="00CF765A"/>
    <w:rsid w:val="00D00C0B"/>
    <w:rsid w:val="00D04761"/>
    <w:rsid w:val="00D07BDF"/>
    <w:rsid w:val="00D109C8"/>
    <w:rsid w:val="00D11284"/>
    <w:rsid w:val="00D1209F"/>
    <w:rsid w:val="00D12A15"/>
    <w:rsid w:val="00D13928"/>
    <w:rsid w:val="00D13D7B"/>
    <w:rsid w:val="00D21481"/>
    <w:rsid w:val="00D2149F"/>
    <w:rsid w:val="00D21A2F"/>
    <w:rsid w:val="00D24C5C"/>
    <w:rsid w:val="00D25E88"/>
    <w:rsid w:val="00D26DBB"/>
    <w:rsid w:val="00D301F5"/>
    <w:rsid w:val="00D3271D"/>
    <w:rsid w:val="00D3451C"/>
    <w:rsid w:val="00D34745"/>
    <w:rsid w:val="00D35694"/>
    <w:rsid w:val="00D429F3"/>
    <w:rsid w:val="00D455DF"/>
    <w:rsid w:val="00D46909"/>
    <w:rsid w:val="00D47B83"/>
    <w:rsid w:val="00D47BBA"/>
    <w:rsid w:val="00D5027F"/>
    <w:rsid w:val="00D52B67"/>
    <w:rsid w:val="00D531CB"/>
    <w:rsid w:val="00D54943"/>
    <w:rsid w:val="00D56A52"/>
    <w:rsid w:val="00D60BBA"/>
    <w:rsid w:val="00D62FB4"/>
    <w:rsid w:val="00D6338D"/>
    <w:rsid w:val="00D65269"/>
    <w:rsid w:val="00D67353"/>
    <w:rsid w:val="00D673DB"/>
    <w:rsid w:val="00D703AF"/>
    <w:rsid w:val="00D70BDB"/>
    <w:rsid w:val="00D71203"/>
    <w:rsid w:val="00D71FDB"/>
    <w:rsid w:val="00D71FDE"/>
    <w:rsid w:val="00D72875"/>
    <w:rsid w:val="00D75244"/>
    <w:rsid w:val="00D75751"/>
    <w:rsid w:val="00D7686B"/>
    <w:rsid w:val="00D816DB"/>
    <w:rsid w:val="00D87356"/>
    <w:rsid w:val="00D87552"/>
    <w:rsid w:val="00D91A32"/>
    <w:rsid w:val="00D92EB1"/>
    <w:rsid w:val="00D92FC6"/>
    <w:rsid w:val="00D9666B"/>
    <w:rsid w:val="00DA29BF"/>
    <w:rsid w:val="00DA3B1C"/>
    <w:rsid w:val="00DA51A7"/>
    <w:rsid w:val="00DA549E"/>
    <w:rsid w:val="00DA5F3B"/>
    <w:rsid w:val="00DB0AC6"/>
    <w:rsid w:val="00DB4DB9"/>
    <w:rsid w:val="00DC0FE8"/>
    <w:rsid w:val="00DC38A8"/>
    <w:rsid w:val="00DC467A"/>
    <w:rsid w:val="00DC4D7C"/>
    <w:rsid w:val="00DC52AA"/>
    <w:rsid w:val="00DC52DA"/>
    <w:rsid w:val="00DC7032"/>
    <w:rsid w:val="00DD014C"/>
    <w:rsid w:val="00DD4A2D"/>
    <w:rsid w:val="00DD50A3"/>
    <w:rsid w:val="00DD6F76"/>
    <w:rsid w:val="00DE0F49"/>
    <w:rsid w:val="00DE4D36"/>
    <w:rsid w:val="00DE6B4B"/>
    <w:rsid w:val="00DE7DCE"/>
    <w:rsid w:val="00DF2859"/>
    <w:rsid w:val="00DF5FC5"/>
    <w:rsid w:val="00DF60D7"/>
    <w:rsid w:val="00DF7966"/>
    <w:rsid w:val="00E02DCA"/>
    <w:rsid w:val="00E03B6F"/>
    <w:rsid w:val="00E04775"/>
    <w:rsid w:val="00E05CAE"/>
    <w:rsid w:val="00E1152D"/>
    <w:rsid w:val="00E12197"/>
    <w:rsid w:val="00E1262F"/>
    <w:rsid w:val="00E15D42"/>
    <w:rsid w:val="00E174F3"/>
    <w:rsid w:val="00E203BC"/>
    <w:rsid w:val="00E20DA0"/>
    <w:rsid w:val="00E25879"/>
    <w:rsid w:val="00E26A86"/>
    <w:rsid w:val="00E26B02"/>
    <w:rsid w:val="00E32582"/>
    <w:rsid w:val="00E34130"/>
    <w:rsid w:val="00E34B36"/>
    <w:rsid w:val="00E41928"/>
    <w:rsid w:val="00E41E4F"/>
    <w:rsid w:val="00E444AB"/>
    <w:rsid w:val="00E47B14"/>
    <w:rsid w:val="00E47C59"/>
    <w:rsid w:val="00E50CC2"/>
    <w:rsid w:val="00E517AC"/>
    <w:rsid w:val="00E51E87"/>
    <w:rsid w:val="00E52817"/>
    <w:rsid w:val="00E52CAA"/>
    <w:rsid w:val="00E541DB"/>
    <w:rsid w:val="00E54777"/>
    <w:rsid w:val="00E6096C"/>
    <w:rsid w:val="00E61442"/>
    <w:rsid w:val="00E61FC1"/>
    <w:rsid w:val="00E64869"/>
    <w:rsid w:val="00E64954"/>
    <w:rsid w:val="00E6520C"/>
    <w:rsid w:val="00E66BC3"/>
    <w:rsid w:val="00E7046E"/>
    <w:rsid w:val="00E763DB"/>
    <w:rsid w:val="00E803D5"/>
    <w:rsid w:val="00E806DA"/>
    <w:rsid w:val="00E839B7"/>
    <w:rsid w:val="00E83ADE"/>
    <w:rsid w:val="00E9197C"/>
    <w:rsid w:val="00E91B62"/>
    <w:rsid w:val="00E9425A"/>
    <w:rsid w:val="00E944AE"/>
    <w:rsid w:val="00E95F9D"/>
    <w:rsid w:val="00E97A59"/>
    <w:rsid w:val="00EA0EE1"/>
    <w:rsid w:val="00EA105F"/>
    <w:rsid w:val="00EA1372"/>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4B5B"/>
    <w:rsid w:val="00EC7C71"/>
    <w:rsid w:val="00ED0AD5"/>
    <w:rsid w:val="00ED1271"/>
    <w:rsid w:val="00ED2787"/>
    <w:rsid w:val="00ED56FD"/>
    <w:rsid w:val="00ED7CB3"/>
    <w:rsid w:val="00EE1A7B"/>
    <w:rsid w:val="00EE5134"/>
    <w:rsid w:val="00EE58E5"/>
    <w:rsid w:val="00EE5909"/>
    <w:rsid w:val="00EF08BE"/>
    <w:rsid w:val="00EF1AF0"/>
    <w:rsid w:val="00EF34CF"/>
    <w:rsid w:val="00EF78D5"/>
    <w:rsid w:val="00EF7D55"/>
    <w:rsid w:val="00F02350"/>
    <w:rsid w:val="00F023EE"/>
    <w:rsid w:val="00F0319F"/>
    <w:rsid w:val="00F0382D"/>
    <w:rsid w:val="00F05602"/>
    <w:rsid w:val="00F0597A"/>
    <w:rsid w:val="00F05EB3"/>
    <w:rsid w:val="00F06AAC"/>
    <w:rsid w:val="00F079CC"/>
    <w:rsid w:val="00F177C5"/>
    <w:rsid w:val="00F20ACE"/>
    <w:rsid w:val="00F21753"/>
    <w:rsid w:val="00F23A95"/>
    <w:rsid w:val="00F24743"/>
    <w:rsid w:val="00F25C86"/>
    <w:rsid w:val="00F2700A"/>
    <w:rsid w:val="00F36C6B"/>
    <w:rsid w:val="00F408EA"/>
    <w:rsid w:val="00F44013"/>
    <w:rsid w:val="00F440F0"/>
    <w:rsid w:val="00F45C26"/>
    <w:rsid w:val="00F51F0C"/>
    <w:rsid w:val="00F53343"/>
    <w:rsid w:val="00F56B5A"/>
    <w:rsid w:val="00F57A04"/>
    <w:rsid w:val="00F62175"/>
    <w:rsid w:val="00F63287"/>
    <w:rsid w:val="00F65B18"/>
    <w:rsid w:val="00F666FC"/>
    <w:rsid w:val="00F715E8"/>
    <w:rsid w:val="00F71E80"/>
    <w:rsid w:val="00F725E0"/>
    <w:rsid w:val="00F72D18"/>
    <w:rsid w:val="00F73D3C"/>
    <w:rsid w:val="00F8390D"/>
    <w:rsid w:val="00F83EAD"/>
    <w:rsid w:val="00F8501F"/>
    <w:rsid w:val="00F91A01"/>
    <w:rsid w:val="00F93043"/>
    <w:rsid w:val="00F937F9"/>
    <w:rsid w:val="00F9530B"/>
    <w:rsid w:val="00F953C0"/>
    <w:rsid w:val="00F95AA7"/>
    <w:rsid w:val="00F975A3"/>
    <w:rsid w:val="00FA3471"/>
    <w:rsid w:val="00FA40AE"/>
    <w:rsid w:val="00FB090B"/>
    <w:rsid w:val="00FB369A"/>
    <w:rsid w:val="00FB4273"/>
    <w:rsid w:val="00FB4DBB"/>
    <w:rsid w:val="00FB5130"/>
    <w:rsid w:val="00FB54C8"/>
    <w:rsid w:val="00FB7254"/>
    <w:rsid w:val="00FC2E08"/>
    <w:rsid w:val="00FC36F1"/>
    <w:rsid w:val="00FC7A12"/>
    <w:rsid w:val="00FD00D5"/>
    <w:rsid w:val="00FD0199"/>
    <w:rsid w:val="00FD42A7"/>
    <w:rsid w:val="00FE08F7"/>
    <w:rsid w:val="00FE1E01"/>
    <w:rsid w:val="00FE26D5"/>
    <w:rsid w:val="00FE3CF0"/>
    <w:rsid w:val="00FE64A1"/>
    <w:rsid w:val="00FE6770"/>
    <w:rsid w:val="00FE6AC4"/>
    <w:rsid w:val="00FF027C"/>
    <w:rsid w:val="00FF02F2"/>
    <w:rsid w:val="00FF0B27"/>
    <w:rsid w:val="00FF0DD5"/>
    <w:rsid w:val="00FF1C02"/>
    <w:rsid w:val="00FF2380"/>
    <w:rsid w:val="00FF23E9"/>
    <w:rsid w:val="00FF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5B12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B120F"/>
  </w:style>
  <w:style w:type="paragraph" w:customStyle="1" w:styleId="B1">
    <w:name w:val="B1"/>
    <w:basedOn w:val="List"/>
    <w:rsid w:val="00434B3B"/>
  </w:style>
  <w:style w:type="paragraph" w:customStyle="1" w:styleId="00BodyText">
    <w:name w:val="00 BodyText"/>
    <w:basedOn w:val="Normal"/>
    <w:rsid w:val="005B120F"/>
    <w:pPr>
      <w:spacing w:after="220"/>
    </w:pPr>
    <w:rPr>
      <w:rFonts w:ascii="Arial" w:hAnsi="Arial"/>
      <w:sz w:val="22"/>
      <w:lang w:val="en-US" w:eastAsia="en-US"/>
    </w:rPr>
  </w:style>
  <w:style w:type="paragraph" w:customStyle="1" w:styleId="a">
    <w:name w:val="??"/>
    <w:rsid w:val="005B120F"/>
    <w:pPr>
      <w:widowControl w:val="0"/>
    </w:pPr>
    <w:rPr>
      <w:lang w:eastAsia="en-US"/>
    </w:rPr>
  </w:style>
  <w:style w:type="paragraph" w:customStyle="1" w:styleId="2">
    <w:name w:val="??? 2"/>
    <w:basedOn w:val="a"/>
    <w:next w:val="a"/>
    <w:rsid w:val="005B120F"/>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styleId="PlaceholderText">
    <w:name w:val="Placeholder Text"/>
    <w:basedOn w:val="DefaultParagraphFont"/>
    <w:uiPriority w:val="99"/>
    <w:semiHidden/>
    <w:rsid w:val="00360860"/>
    <w:rPr>
      <w:color w:val="808080"/>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59726623">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342325839">
      <w:bodyDiv w:val="1"/>
      <w:marLeft w:val="0"/>
      <w:marRight w:val="0"/>
      <w:marTop w:val="0"/>
      <w:marBottom w:val="0"/>
      <w:divBdr>
        <w:top w:val="none" w:sz="0" w:space="0" w:color="auto"/>
        <w:left w:val="none" w:sz="0" w:space="0" w:color="auto"/>
        <w:bottom w:val="none" w:sz="0" w:space="0" w:color="auto"/>
        <w:right w:val="none" w:sz="0" w:space="0" w:color="auto"/>
      </w:divBdr>
      <w:divsChild>
        <w:div w:id="202602320">
          <w:marLeft w:val="1800"/>
          <w:marRight w:val="0"/>
          <w:marTop w:val="77"/>
          <w:marBottom w:val="0"/>
          <w:divBdr>
            <w:top w:val="none" w:sz="0" w:space="0" w:color="auto"/>
            <w:left w:val="none" w:sz="0" w:space="0" w:color="auto"/>
            <w:bottom w:val="none" w:sz="0" w:space="0" w:color="auto"/>
            <w:right w:val="none" w:sz="0" w:space="0" w:color="auto"/>
          </w:divBdr>
        </w:div>
        <w:div w:id="474764325">
          <w:marLeft w:val="1800"/>
          <w:marRight w:val="0"/>
          <w:marTop w:val="77"/>
          <w:marBottom w:val="0"/>
          <w:divBdr>
            <w:top w:val="none" w:sz="0" w:space="0" w:color="auto"/>
            <w:left w:val="none" w:sz="0" w:space="0" w:color="auto"/>
            <w:bottom w:val="none" w:sz="0" w:space="0" w:color="auto"/>
            <w:right w:val="none" w:sz="0" w:space="0" w:color="auto"/>
          </w:divBdr>
        </w:div>
        <w:div w:id="480536340">
          <w:marLeft w:val="547"/>
          <w:marRight w:val="0"/>
          <w:marTop w:val="96"/>
          <w:marBottom w:val="0"/>
          <w:divBdr>
            <w:top w:val="none" w:sz="0" w:space="0" w:color="auto"/>
            <w:left w:val="none" w:sz="0" w:space="0" w:color="auto"/>
            <w:bottom w:val="none" w:sz="0" w:space="0" w:color="auto"/>
            <w:right w:val="none" w:sz="0" w:space="0" w:color="auto"/>
          </w:divBdr>
        </w:div>
        <w:div w:id="523203759">
          <w:marLeft w:val="1800"/>
          <w:marRight w:val="0"/>
          <w:marTop w:val="77"/>
          <w:marBottom w:val="0"/>
          <w:divBdr>
            <w:top w:val="none" w:sz="0" w:space="0" w:color="auto"/>
            <w:left w:val="none" w:sz="0" w:space="0" w:color="auto"/>
            <w:bottom w:val="none" w:sz="0" w:space="0" w:color="auto"/>
            <w:right w:val="none" w:sz="0" w:space="0" w:color="auto"/>
          </w:divBdr>
        </w:div>
        <w:div w:id="585455096">
          <w:marLeft w:val="1166"/>
          <w:marRight w:val="0"/>
          <w:marTop w:val="86"/>
          <w:marBottom w:val="0"/>
          <w:divBdr>
            <w:top w:val="none" w:sz="0" w:space="0" w:color="auto"/>
            <w:left w:val="none" w:sz="0" w:space="0" w:color="auto"/>
            <w:bottom w:val="none" w:sz="0" w:space="0" w:color="auto"/>
            <w:right w:val="none" w:sz="0" w:space="0" w:color="auto"/>
          </w:divBdr>
        </w:div>
        <w:div w:id="1070274779">
          <w:marLeft w:val="1800"/>
          <w:marRight w:val="0"/>
          <w:marTop w:val="77"/>
          <w:marBottom w:val="0"/>
          <w:divBdr>
            <w:top w:val="none" w:sz="0" w:space="0" w:color="auto"/>
            <w:left w:val="none" w:sz="0" w:space="0" w:color="auto"/>
            <w:bottom w:val="none" w:sz="0" w:space="0" w:color="auto"/>
            <w:right w:val="none" w:sz="0" w:space="0" w:color="auto"/>
          </w:divBdr>
        </w:div>
        <w:div w:id="1258756702">
          <w:marLeft w:val="1800"/>
          <w:marRight w:val="0"/>
          <w:marTop w:val="77"/>
          <w:marBottom w:val="0"/>
          <w:divBdr>
            <w:top w:val="none" w:sz="0" w:space="0" w:color="auto"/>
            <w:left w:val="none" w:sz="0" w:space="0" w:color="auto"/>
            <w:bottom w:val="none" w:sz="0" w:space="0" w:color="auto"/>
            <w:right w:val="none" w:sz="0" w:space="0" w:color="auto"/>
          </w:divBdr>
        </w:div>
        <w:div w:id="1599406993">
          <w:marLeft w:val="1166"/>
          <w:marRight w:val="0"/>
          <w:marTop w:val="86"/>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22632294">
      <w:bodyDiv w:val="1"/>
      <w:marLeft w:val="0"/>
      <w:marRight w:val="0"/>
      <w:marTop w:val="0"/>
      <w:marBottom w:val="0"/>
      <w:divBdr>
        <w:top w:val="none" w:sz="0" w:space="0" w:color="auto"/>
        <w:left w:val="none" w:sz="0" w:space="0" w:color="auto"/>
        <w:bottom w:val="none" w:sz="0" w:space="0" w:color="auto"/>
        <w:right w:val="none" w:sz="0" w:space="0" w:color="auto"/>
      </w:divBdr>
      <w:divsChild>
        <w:div w:id="712192929">
          <w:marLeft w:val="547"/>
          <w:marRight w:val="0"/>
          <w:marTop w:val="96"/>
          <w:marBottom w:val="0"/>
          <w:divBdr>
            <w:top w:val="none" w:sz="0" w:space="0" w:color="auto"/>
            <w:left w:val="none" w:sz="0" w:space="0" w:color="auto"/>
            <w:bottom w:val="none" w:sz="0" w:space="0" w:color="auto"/>
            <w:right w:val="none" w:sz="0" w:space="0" w:color="auto"/>
          </w:divBdr>
        </w:div>
        <w:div w:id="817578397">
          <w:marLeft w:val="1800"/>
          <w:marRight w:val="0"/>
          <w:marTop w:val="77"/>
          <w:marBottom w:val="0"/>
          <w:divBdr>
            <w:top w:val="none" w:sz="0" w:space="0" w:color="auto"/>
            <w:left w:val="none" w:sz="0" w:space="0" w:color="auto"/>
            <w:bottom w:val="none" w:sz="0" w:space="0" w:color="auto"/>
            <w:right w:val="none" w:sz="0" w:space="0" w:color="auto"/>
          </w:divBdr>
        </w:div>
        <w:div w:id="1079860884">
          <w:marLeft w:val="1800"/>
          <w:marRight w:val="0"/>
          <w:marTop w:val="77"/>
          <w:marBottom w:val="0"/>
          <w:divBdr>
            <w:top w:val="none" w:sz="0" w:space="0" w:color="auto"/>
            <w:left w:val="none" w:sz="0" w:space="0" w:color="auto"/>
            <w:bottom w:val="none" w:sz="0" w:space="0" w:color="auto"/>
            <w:right w:val="none" w:sz="0" w:space="0" w:color="auto"/>
          </w:divBdr>
        </w:div>
        <w:div w:id="1120953335">
          <w:marLeft w:val="1166"/>
          <w:marRight w:val="0"/>
          <w:marTop w:val="86"/>
          <w:marBottom w:val="0"/>
          <w:divBdr>
            <w:top w:val="none" w:sz="0" w:space="0" w:color="auto"/>
            <w:left w:val="none" w:sz="0" w:space="0" w:color="auto"/>
            <w:bottom w:val="none" w:sz="0" w:space="0" w:color="auto"/>
            <w:right w:val="none" w:sz="0" w:space="0" w:color="auto"/>
          </w:divBdr>
        </w:div>
        <w:div w:id="1698190917">
          <w:marLeft w:val="1800"/>
          <w:marRight w:val="0"/>
          <w:marTop w:val="77"/>
          <w:marBottom w:val="0"/>
          <w:divBdr>
            <w:top w:val="none" w:sz="0" w:space="0" w:color="auto"/>
            <w:left w:val="none" w:sz="0" w:space="0" w:color="auto"/>
            <w:bottom w:val="none" w:sz="0" w:space="0" w:color="auto"/>
            <w:right w:val="none" w:sz="0" w:space="0" w:color="auto"/>
          </w:divBdr>
        </w:div>
        <w:div w:id="1706175260">
          <w:marLeft w:val="1800"/>
          <w:marRight w:val="0"/>
          <w:marTop w:val="77"/>
          <w:marBottom w:val="0"/>
          <w:divBdr>
            <w:top w:val="none" w:sz="0" w:space="0" w:color="auto"/>
            <w:left w:val="none" w:sz="0" w:space="0" w:color="auto"/>
            <w:bottom w:val="none" w:sz="0" w:space="0" w:color="auto"/>
            <w:right w:val="none" w:sz="0" w:space="0" w:color="auto"/>
          </w:divBdr>
        </w:div>
        <w:div w:id="1848053707">
          <w:marLeft w:val="1800"/>
          <w:marRight w:val="0"/>
          <w:marTop w:val="77"/>
          <w:marBottom w:val="0"/>
          <w:divBdr>
            <w:top w:val="none" w:sz="0" w:space="0" w:color="auto"/>
            <w:left w:val="none" w:sz="0" w:space="0" w:color="auto"/>
            <w:bottom w:val="none" w:sz="0" w:space="0" w:color="auto"/>
            <w:right w:val="none" w:sz="0" w:space="0" w:color="auto"/>
          </w:divBdr>
        </w:div>
        <w:div w:id="2067756136">
          <w:marLeft w:val="1166"/>
          <w:marRight w:val="0"/>
          <w:marTop w:val="86"/>
          <w:marBottom w:val="0"/>
          <w:divBdr>
            <w:top w:val="none" w:sz="0" w:space="0" w:color="auto"/>
            <w:left w:val="none" w:sz="0" w:space="0" w:color="auto"/>
            <w:bottom w:val="none" w:sz="0" w:space="0" w:color="auto"/>
            <w:right w:val="none" w:sz="0" w:space="0" w:color="auto"/>
          </w:divBdr>
        </w:div>
      </w:divsChild>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53398237">
      <w:bodyDiv w:val="1"/>
      <w:marLeft w:val="0"/>
      <w:marRight w:val="0"/>
      <w:marTop w:val="0"/>
      <w:marBottom w:val="0"/>
      <w:divBdr>
        <w:top w:val="none" w:sz="0" w:space="0" w:color="auto"/>
        <w:left w:val="none" w:sz="0" w:space="0" w:color="auto"/>
        <w:bottom w:val="none" w:sz="0" w:space="0" w:color="auto"/>
        <w:right w:val="none" w:sz="0" w:space="0" w:color="auto"/>
      </w:divBdr>
    </w:div>
    <w:div w:id="198562396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6A9495E-6AF6-4BA3-8E26-11DC84D23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5730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Nokia Networks</cp:lastModifiedBy>
  <cp:revision>12</cp:revision>
  <cp:lastPrinted>2001-04-23T16:30:00Z</cp:lastPrinted>
  <dcterms:created xsi:type="dcterms:W3CDTF">2015-05-17T16:01:00Z</dcterms:created>
  <dcterms:modified xsi:type="dcterms:W3CDTF">2015-05-18T19:24:00Z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